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BB492" w14:textId="267890EE" w:rsidR="008D5DD5" w:rsidRPr="002B1794" w:rsidRDefault="008D5DD5" w:rsidP="008D5DD5">
      <w:pPr>
        <w:pStyle w:val="3GPPHeader"/>
        <w:rPr>
          <w:lang w:val="en-US"/>
        </w:rPr>
      </w:pPr>
      <w:r w:rsidRPr="002B1794">
        <w:rPr>
          <w:lang w:val="en-US"/>
        </w:rPr>
        <w:t>3GPP TSG RAN WG1 Meeting RAN1#96</w:t>
      </w:r>
      <w:r>
        <w:rPr>
          <w:lang w:val="en-US"/>
        </w:rPr>
        <w:t>-bis</w:t>
      </w:r>
      <w:r w:rsidRPr="002B1794">
        <w:rPr>
          <w:lang w:val="en-US"/>
        </w:rPr>
        <w:tab/>
      </w:r>
      <w:r w:rsidR="00F97E40" w:rsidRPr="000A65B0">
        <w:rPr>
          <w:i/>
          <w:lang w:val="en-US"/>
        </w:rPr>
        <w:t>R1-</w:t>
      </w:r>
      <w:r w:rsidR="00C63330" w:rsidRPr="00C63330">
        <w:t xml:space="preserve"> </w:t>
      </w:r>
      <w:r w:rsidR="00C63330" w:rsidRPr="00C63330">
        <w:rPr>
          <w:i/>
          <w:lang w:val="en-US"/>
        </w:rPr>
        <w:t>1905519</w:t>
      </w:r>
    </w:p>
    <w:p w14:paraId="7CBB3D85" w14:textId="77777777" w:rsidR="008D5DD5" w:rsidRPr="002B1794" w:rsidRDefault="008D5DD5" w:rsidP="008D5DD5">
      <w:pPr>
        <w:pStyle w:val="3GPPHeader"/>
        <w:rPr>
          <w:rFonts w:eastAsiaTheme="minorHAnsi" w:cstheme="minorBidi"/>
          <w:sz w:val="22"/>
          <w:szCs w:val="22"/>
          <w:lang w:val="en-US"/>
        </w:rPr>
      </w:pPr>
      <w:r>
        <w:rPr>
          <w:lang w:val="en-US"/>
        </w:rPr>
        <w:t>Xi’an</w:t>
      </w:r>
      <w:r w:rsidRPr="0051599E">
        <w:rPr>
          <w:lang w:val="en-US"/>
        </w:rPr>
        <w:t xml:space="preserve">, </w:t>
      </w:r>
      <w:r>
        <w:rPr>
          <w:lang w:val="en-US"/>
        </w:rPr>
        <w:t>China</w:t>
      </w:r>
      <w:r w:rsidRPr="0051599E">
        <w:rPr>
          <w:lang w:val="en-US"/>
        </w:rPr>
        <w:t xml:space="preserve">, </w:t>
      </w:r>
      <w:r>
        <w:rPr>
          <w:lang w:val="en-US"/>
        </w:rPr>
        <w:t>April</w:t>
      </w:r>
      <w:r w:rsidRPr="0051599E">
        <w:rPr>
          <w:lang w:val="en-US"/>
        </w:rPr>
        <w:t xml:space="preserve"> </w:t>
      </w:r>
      <w:r>
        <w:rPr>
          <w:lang w:val="en-US"/>
        </w:rPr>
        <w:t>8</w:t>
      </w:r>
      <w:r w:rsidRPr="0051599E">
        <w:rPr>
          <w:vertAlign w:val="superscript"/>
          <w:lang w:val="en-US"/>
        </w:rPr>
        <w:t>th</w:t>
      </w:r>
      <w:r w:rsidRPr="0051599E">
        <w:rPr>
          <w:lang w:val="en-US"/>
        </w:rPr>
        <w:t xml:space="preserve"> – </w:t>
      </w:r>
      <w:r>
        <w:rPr>
          <w:lang w:val="en-US"/>
        </w:rPr>
        <w:t>12</w:t>
      </w:r>
      <w:r w:rsidRPr="0051599E">
        <w:rPr>
          <w:vertAlign w:val="superscript"/>
          <w:lang w:val="en-US"/>
        </w:rPr>
        <w:t>th</w:t>
      </w:r>
      <w:r w:rsidRPr="0051599E">
        <w:rPr>
          <w:lang w:val="en-US"/>
        </w:rPr>
        <w: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4F44879E" w:rsidR="00904CFD" w:rsidRPr="00561DAC" w:rsidRDefault="00904CFD" w:rsidP="00904CFD">
      <w:pPr>
        <w:pStyle w:val="3GPPHeader"/>
      </w:pPr>
      <w:r w:rsidRPr="00327997">
        <w:t>Title:</w:t>
      </w:r>
      <w:r w:rsidRPr="00327997">
        <w:tab/>
      </w:r>
      <w:bookmarkStart w:id="0" w:name="_Hlk528244766"/>
      <w:r w:rsidR="00305D4D" w:rsidRPr="00561DAC">
        <w:t xml:space="preserve">On </w:t>
      </w:r>
      <w:bookmarkEnd w:id="0"/>
      <w:r w:rsidR="00705CCB">
        <w:t>CSI enhancements for MU-MIMO</w:t>
      </w:r>
    </w:p>
    <w:p w14:paraId="00EFAC0D" w14:textId="13138CC5"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705CCB">
        <w:rPr>
          <w:lang w:val="en-US"/>
        </w:rPr>
        <w:t>1</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2E109AD" w14:textId="679CA248" w:rsidR="0005092A" w:rsidRDefault="00ED5C25" w:rsidP="0005092A">
      <w:pPr>
        <w:pStyle w:val="BodyText"/>
        <w:spacing w:before="240"/>
      </w:pPr>
      <w:r>
        <w:t xml:space="preserve">In RAN1#96, </w:t>
      </w:r>
      <w:r w:rsidR="001B05A2">
        <w:t>great progress was achieved for rank 1-2 codebooks and the design was almost finalized:</w:t>
      </w:r>
    </w:p>
    <w:p w14:paraId="3C4AC928" w14:textId="77777777" w:rsidR="001B05A2" w:rsidRDefault="001B05A2" w:rsidP="001B05A2">
      <w:pPr>
        <w:rPr>
          <w:b/>
          <w:highlight w:val="green"/>
          <w:lang w:eastAsia="x-none"/>
        </w:rPr>
      </w:pPr>
      <w:r>
        <w:rPr>
          <w:b/>
          <w:highlight w:val="green"/>
          <w:lang w:eastAsia="x-none"/>
        </w:rPr>
        <w:t xml:space="preserve">Agreement </w:t>
      </w:r>
    </w:p>
    <w:p w14:paraId="6F173CFB" w14:textId="0AD31B04" w:rsidR="001B05A2" w:rsidRDefault="001B05A2" w:rsidP="001B05A2">
      <w:pPr>
        <w:rPr>
          <w:lang w:val="en-US"/>
        </w:rPr>
      </w:pPr>
      <w:r w:rsidRPr="001B05A2">
        <w:rPr>
          <w:lang w:val="en-US"/>
        </w:rPr>
        <w:t xml:space="preserve">On the value of M (the number of FD compression units), </w:t>
      </w:r>
      <w:r w:rsidRPr="001B05A2">
        <w:rPr>
          <w:lang w:val="en-US" w:eastAsia="ko-KR"/>
        </w:rPr>
        <w:t xml:space="preserve">agree on </w:t>
      </w:r>
      <m:oMath>
        <m:r>
          <m:rPr>
            <m:sty m:val="p"/>
          </m:rPr>
          <w:rPr>
            <w:rFonts w:ascii="Cambria Math" w:hAnsi="Cambria Math"/>
          </w:rPr>
          <m:t>M=</m:t>
        </m:r>
        <m:d>
          <m:dPr>
            <m:begChr m:val="⌈"/>
            <m:endChr m:val="⌉"/>
            <m:ctrlPr>
              <w:rPr>
                <w:rFonts w:ascii="Cambria Math" w:eastAsia="Malgun Gothic" w:hAnsi="Cambria Math"/>
                <w:sz w:val="22"/>
                <w:lang w:eastAsia="en-US"/>
              </w:rPr>
            </m:ctrlPr>
          </m:dPr>
          <m:e>
            <m:r>
              <m:rPr>
                <m:sty m:val="p"/>
              </m:rPr>
              <w:rPr>
                <w:rFonts w:ascii="Cambria Math" w:hAnsi="Cambria Math"/>
              </w:rPr>
              <m:t>p×</m:t>
            </m:r>
            <m:f>
              <m:fPr>
                <m:ctrlPr>
                  <w:rPr>
                    <w:rFonts w:ascii="Cambria Math" w:eastAsia="Malgun Gothic" w:hAnsi="Cambria Math"/>
                    <w:sz w:val="22"/>
                    <w:lang w:eastAsia="en-US"/>
                  </w:rPr>
                </m:ctrlPr>
              </m:fPr>
              <m:num>
                <m:sSub>
                  <m:sSubPr>
                    <m:ctrlPr>
                      <w:rPr>
                        <w:rFonts w:ascii="Cambria Math" w:eastAsia="Malgun Gothic" w:hAnsi="Cambria Math"/>
                        <w:sz w:val="22"/>
                        <w:lang w:eastAsia="en-US"/>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1B05A2">
        <w:rPr>
          <w:lang w:val="en-US"/>
        </w:rPr>
        <w:t>.</w:t>
      </w:r>
    </w:p>
    <w:p w14:paraId="7EAD9050" w14:textId="77777777" w:rsidR="001B05A2" w:rsidRPr="001B05A2" w:rsidRDefault="001B05A2" w:rsidP="001B05A2">
      <w:pPr>
        <w:pStyle w:val="Style1"/>
        <w:spacing w:after="0" w:line="240" w:lineRule="auto"/>
        <w:ind w:firstLine="0"/>
        <w:rPr>
          <w:rFonts w:ascii="Times New Roman" w:hAnsi="Times New Roman" w:cs="Times New Roman"/>
          <w:highlight w:val="green"/>
          <w:lang w:val="en-US"/>
        </w:rPr>
      </w:pPr>
      <w:r w:rsidRPr="001B05A2">
        <w:rPr>
          <w:rFonts w:ascii="Times New Roman" w:hAnsi="Times New Roman" w:cs="Times New Roman"/>
          <w:b/>
          <w:highlight w:val="green"/>
          <w:lang w:val="en-US"/>
        </w:rPr>
        <w:t>Agreement</w:t>
      </w:r>
    </w:p>
    <w:p w14:paraId="63865727" w14:textId="77777777" w:rsidR="001B05A2" w:rsidRPr="001B05A2" w:rsidRDefault="001B05A2" w:rsidP="001B05A2">
      <w:pPr>
        <w:pStyle w:val="Style1"/>
        <w:spacing w:after="0" w:line="240" w:lineRule="auto"/>
        <w:ind w:firstLine="0"/>
        <w:rPr>
          <w:rFonts w:ascii="Times New Roman" w:hAnsi="Times New Roman" w:cs="Times New Roman"/>
          <w:lang w:val="en-US"/>
        </w:rPr>
      </w:pPr>
      <w:r w:rsidRPr="001B05A2">
        <w:rPr>
          <w:rFonts w:ascii="Times New Roman" w:hAnsi="Times New Roman" w:cs="Times New Roman"/>
          <w:lang w:val="en-US"/>
        </w:rPr>
        <w:t>On subset selection for layer 0, agree on the following:</w:t>
      </w:r>
    </w:p>
    <w:p w14:paraId="33CA6A61" w14:textId="77777777" w:rsidR="001B05A2" w:rsidRPr="001B05A2" w:rsidRDefault="001B05A2" w:rsidP="001B05A2">
      <w:pPr>
        <w:pStyle w:val="Style1"/>
        <w:numPr>
          <w:ilvl w:val="0"/>
          <w:numId w:val="37"/>
        </w:numPr>
        <w:spacing w:after="0" w:line="240" w:lineRule="auto"/>
        <w:rPr>
          <w:rFonts w:ascii="Times New Roman" w:hAnsi="Times New Roman" w:cs="Times New Roman"/>
          <w:lang w:val="en-US"/>
        </w:rPr>
      </w:pPr>
      <w:r w:rsidRPr="001B05A2">
        <w:rPr>
          <w:rFonts w:ascii="Times New Roman" w:hAnsi="Times New Roman" w:cs="Times New Roman"/>
          <w:lang w:val="en-US"/>
        </w:rPr>
        <w:t>Unrestricted (polarization-independent) subset selection which requires a size-2LM bitmap in UCI part 2</w:t>
      </w:r>
    </w:p>
    <w:p w14:paraId="775FE4B3" w14:textId="578365DA" w:rsidR="001B05A2" w:rsidRPr="001B05A2" w:rsidRDefault="001B05A2" w:rsidP="001B05A2">
      <w:pPr>
        <w:pStyle w:val="Style1"/>
        <w:numPr>
          <w:ilvl w:val="0"/>
          <w:numId w:val="37"/>
        </w:numPr>
        <w:spacing w:after="0" w:line="240" w:lineRule="auto"/>
        <w:rPr>
          <w:rFonts w:ascii="Times New Roman" w:hAnsi="Times New Roman" w:cs="Times New Roman"/>
          <w:lang w:val="en-US"/>
        </w:rPr>
      </w:pPr>
      <w:r w:rsidRPr="001B05A2">
        <w:rPr>
          <w:rFonts w:ascii="Times New Roman" w:hAnsi="Times New Roman" w:cs="Times New Roman"/>
          <w:lang w:val="en-US"/>
        </w:rPr>
        <w:fldChar w:fldCharType="begin"/>
      </w:r>
      <w:r w:rsidRPr="001B05A2">
        <w:rPr>
          <w:rFonts w:ascii="Times New Roman" w:hAnsi="Times New Roman" w:cs="Times New Roman"/>
          <w:lang w:val="en-US"/>
        </w:rPr>
        <w:instrText xml:space="preserve"> QUOTE </w:instrText>
      </w:r>
      <m:oMath>
        <m:r>
          <m:rPr>
            <m:sty m:val="p"/>
          </m:rPr>
          <w:rPr>
            <w:rFonts w:ascii="Cambria Math" w:hAnsi="Cambria Math" w:cs="Times New Roman"/>
            <w:lang w:val="en-US"/>
          </w:rPr>
          <m:t>β∈</m:t>
        </m:r>
        <m:d>
          <m:dPr>
            <m:begChr m:val="{"/>
            <m:endChr m:val="}"/>
            <m:ctrlPr>
              <w:rPr>
                <w:rFonts w:ascii="Cambria Math" w:hAnsi="Cambria Math" w:cs="Times New Roman"/>
                <w:i/>
                <w:lang w:val="en-US"/>
              </w:rPr>
            </m:ctrlPr>
          </m:dPr>
          <m:e>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4</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2</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3</m:t>
                </m:r>
              </m:num>
              <m:den>
                <m:r>
                  <m:rPr>
                    <m:sty m:val="p"/>
                  </m:rPr>
                  <w:rPr>
                    <w:rFonts w:ascii="Cambria Math" w:hAnsi="Cambria Math" w:cs="Times New Roman"/>
                    <w:lang w:val="en-US"/>
                  </w:rPr>
                  <m:t>4</m:t>
                </m:r>
              </m:den>
            </m:f>
          </m:e>
        </m:d>
      </m:oMath>
      <w:r w:rsidRPr="001B05A2">
        <w:rPr>
          <w:rFonts w:ascii="Times New Roman" w:hAnsi="Times New Roman" w:cs="Times New Roman"/>
          <w:lang w:val="en-US"/>
        </w:rPr>
        <w:instrText xml:space="preserve"> </w:instrText>
      </w:r>
      <w:r w:rsidRPr="001B05A2">
        <w:rPr>
          <w:rFonts w:ascii="Times New Roman" w:hAnsi="Times New Roman" w:cs="Times New Roman"/>
          <w:lang w:val="en-US"/>
        </w:rPr>
        <w:fldChar w:fldCharType="separate"/>
      </w:r>
      <m:oMath>
        <m:r>
          <m:rPr>
            <m:sty m:val="p"/>
          </m:rPr>
          <w:rPr>
            <w:rFonts w:ascii="Cambria Math" w:hAnsi="Cambria Math" w:cs="Times New Roman"/>
            <w:lang w:val="en-US"/>
          </w:rPr>
          <m:t>β∈</m:t>
        </m:r>
        <m:d>
          <m:dPr>
            <m:begChr m:val="{"/>
            <m:endChr m:val="}"/>
            <m:ctrlPr>
              <w:rPr>
                <w:rFonts w:ascii="Cambria Math" w:hAnsi="Cambria Math" w:cs="Times New Roman"/>
                <w:i/>
                <w:lang w:val="en-US"/>
              </w:rPr>
            </m:ctrlPr>
          </m:dPr>
          <m:e>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4</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2</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3</m:t>
                </m:r>
              </m:num>
              <m:den>
                <m:r>
                  <m:rPr>
                    <m:sty m:val="p"/>
                  </m:rPr>
                  <w:rPr>
                    <w:rFonts w:ascii="Cambria Math" w:hAnsi="Cambria Math" w:cs="Times New Roman"/>
                    <w:lang w:val="en-US"/>
                  </w:rPr>
                  <m:t>4</m:t>
                </m:r>
              </m:den>
            </m:f>
          </m:e>
        </m:d>
      </m:oMath>
      <w:r w:rsidRPr="001B05A2">
        <w:rPr>
          <w:rFonts w:ascii="Times New Roman" w:hAnsi="Times New Roman" w:cs="Times New Roman"/>
          <w:lang w:val="en-US"/>
        </w:rPr>
        <w:fldChar w:fldCharType="end"/>
      </w:r>
      <w:r w:rsidRPr="001B05A2">
        <w:rPr>
          <w:rFonts w:ascii="Times New Roman" w:hAnsi="Times New Roman" w:cs="Times New Roman"/>
          <w:position w:val="-28"/>
          <w:lang w:val="en-US"/>
        </w:rPr>
        <w:object w:dxaOrig="1425" w:dyaOrig="675" w14:anchorId="65D46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45pt;height:33.85pt" o:ole="">
            <v:imagedata r:id="rId11" o:title=""/>
          </v:shape>
          <o:OLEObject Type="Embed" ProgID="Equation.DSMT4" ShapeID="_x0000_i1025" DrawAspect="Content" ObjectID="_1615818354" r:id="rId12"/>
        </w:object>
      </w:r>
      <w:r w:rsidRPr="001B05A2">
        <w:rPr>
          <w:rFonts w:ascii="Times New Roman" w:hAnsi="Times New Roman" w:cs="Times New Roman"/>
          <w:lang w:val="en-US"/>
        </w:rPr>
        <w:t xml:space="preserve"> </w:t>
      </w:r>
    </w:p>
    <w:p w14:paraId="02CB1C34" w14:textId="4C9BC112" w:rsidR="001B05A2" w:rsidRPr="001B05A2" w:rsidRDefault="001B05A2" w:rsidP="00DB7E1E">
      <w:pPr>
        <w:pStyle w:val="Style1"/>
        <w:numPr>
          <w:ilvl w:val="1"/>
          <w:numId w:val="37"/>
        </w:numPr>
        <w:spacing w:after="0" w:line="240" w:lineRule="auto"/>
        <w:rPr>
          <w:rFonts w:ascii="Times New Roman" w:hAnsi="Times New Roman" w:cs="Times New Roman"/>
          <w:lang w:eastAsia="x-none"/>
        </w:rPr>
      </w:pPr>
      <w:r w:rsidRPr="001B05A2">
        <w:rPr>
          <w:rFonts w:ascii="Times New Roman" w:hAnsi="Times New Roman" w:cs="Times New Roman"/>
          <w:lang w:val="en-US"/>
        </w:rPr>
        <w:t xml:space="preserve">FFS: Further down selection of supported combinations of FD compression parameters  </w:t>
      </w:r>
    </w:p>
    <w:p w14:paraId="0D780446" w14:textId="77777777" w:rsidR="001B05A2" w:rsidRPr="001B05A2" w:rsidRDefault="001B05A2" w:rsidP="001B05A2">
      <w:pPr>
        <w:pStyle w:val="Style1"/>
        <w:spacing w:after="0" w:line="240" w:lineRule="auto"/>
        <w:ind w:firstLine="0"/>
        <w:rPr>
          <w:rFonts w:ascii="Times New Roman" w:hAnsi="Times New Roman" w:cs="Times New Roman"/>
          <w:i/>
          <w:highlight w:val="green"/>
          <w:lang w:val="en-US"/>
        </w:rPr>
      </w:pPr>
      <w:r w:rsidRPr="001B05A2">
        <w:rPr>
          <w:rFonts w:ascii="Times New Roman" w:hAnsi="Times New Roman" w:cs="Times New Roman"/>
          <w:b/>
          <w:highlight w:val="green"/>
          <w:lang w:val="en-US"/>
        </w:rPr>
        <w:t>Agreement</w:t>
      </w:r>
    </w:p>
    <w:p w14:paraId="5048A129" w14:textId="77777777" w:rsidR="001B05A2" w:rsidRPr="001B05A2" w:rsidRDefault="001B05A2" w:rsidP="001B05A2">
      <w:pPr>
        <w:pStyle w:val="Style1"/>
        <w:spacing w:after="0" w:line="240" w:lineRule="auto"/>
        <w:ind w:firstLine="0"/>
        <w:rPr>
          <w:rFonts w:ascii="Times New Roman" w:hAnsi="Times New Roman" w:cs="Times New Roman"/>
          <w:lang w:val="en-US"/>
        </w:rPr>
      </w:pPr>
      <w:r w:rsidRPr="001B05A2">
        <w:rPr>
          <w:rFonts w:ascii="Times New Roman" w:hAnsi="Times New Roman" w:cs="Times New Roman"/>
          <w:lang w:val="en-US" w:eastAsia="ko-KR"/>
        </w:rPr>
        <w:t xml:space="preserve">On </w:t>
      </w:r>
      <w:r w:rsidRPr="001B05A2">
        <w:rPr>
          <w:rFonts w:ascii="Times New Roman" w:hAnsi="Times New Roman" w:cs="Times New Roman"/>
          <w:lang w:val="en-US"/>
        </w:rPr>
        <w:t>subset selection for RI=2, agree on the following</w:t>
      </w:r>
    </w:p>
    <w:p w14:paraId="0D5B706C" w14:textId="77777777" w:rsidR="001B05A2" w:rsidRPr="001B05A2" w:rsidRDefault="001B05A2" w:rsidP="001B05A2">
      <w:pPr>
        <w:pStyle w:val="Style1"/>
        <w:numPr>
          <w:ilvl w:val="0"/>
          <w:numId w:val="38"/>
        </w:numPr>
        <w:spacing w:after="0" w:line="240" w:lineRule="auto"/>
        <w:rPr>
          <w:rFonts w:ascii="Times New Roman" w:hAnsi="Times New Roman" w:cs="Times New Roman"/>
          <w:lang w:val="en-US"/>
        </w:rPr>
      </w:pPr>
      <w:r w:rsidRPr="001B05A2">
        <w:rPr>
          <w:rFonts w:ascii="Times New Roman" w:hAnsi="Times New Roman" w:cs="Times New Roman"/>
          <w:iCs/>
          <w:lang w:val="en-US"/>
        </w:rPr>
        <w:t>SD basis selection (selection of L out of N1N2 SD DFT vectors) is layer-common</w:t>
      </w:r>
    </w:p>
    <w:p w14:paraId="07F4A080" w14:textId="77777777" w:rsidR="001B05A2" w:rsidRPr="001B05A2" w:rsidRDefault="001B05A2" w:rsidP="001B05A2">
      <w:pPr>
        <w:pStyle w:val="Style1"/>
        <w:numPr>
          <w:ilvl w:val="0"/>
          <w:numId w:val="38"/>
        </w:numPr>
        <w:spacing w:after="0" w:line="240" w:lineRule="auto"/>
        <w:rPr>
          <w:rFonts w:ascii="Times New Roman" w:hAnsi="Times New Roman" w:cs="Times New Roman"/>
          <w:lang w:val="en-US"/>
        </w:rPr>
      </w:pPr>
      <w:r w:rsidRPr="001B05A2">
        <w:rPr>
          <w:rFonts w:ascii="Times New Roman" w:hAnsi="Times New Roman" w:cs="Times New Roman"/>
          <w:iCs/>
          <w:lang w:val="en-US"/>
        </w:rPr>
        <w:t>Terms:</w:t>
      </w:r>
    </w:p>
    <w:p w14:paraId="4EBE09FE" w14:textId="77777777" w:rsidR="001B05A2" w:rsidRPr="001B05A2" w:rsidRDefault="001B05A2" w:rsidP="001B05A2">
      <w:pPr>
        <w:pStyle w:val="ListParagraph"/>
        <w:numPr>
          <w:ilvl w:val="1"/>
          <w:numId w:val="39"/>
        </w:numPr>
        <w:autoSpaceDN w:val="0"/>
        <w:spacing w:after="0"/>
        <w:rPr>
          <w:rStyle w:val="Emphasis"/>
          <w:rFonts w:ascii="Times New Roman" w:hAnsi="Times New Roman"/>
          <w:i w:val="0"/>
          <w:iCs w:val="0"/>
        </w:rPr>
      </w:pPr>
      <w:r w:rsidRPr="001B05A2">
        <w:rPr>
          <w:rStyle w:val="Emphasis"/>
          <w:rFonts w:ascii="Times New Roman" w:hAnsi="Times New Roman"/>
        </w:rPr>
        <w:t>“FD basis subset selection” refers to the selection of M out of N</w:t>
      </w:r>
      <w:r w:rsidRPr="001B05A2">
        <w:rPr>
          <w:rStyle w:val="Emphasis"/>
          <w:rFonts w:ascii="Times New Roman" w:hAnsi="Times New Roman"/>
          <w:vertAlign w:val="subscript"/>
        </w:rPr>
        <w:t>3</w:t>
      </w:r>
      <w:r w:rsidRPr="001B05A2">
        <w:rPr>
          <w:rStyle w:val="Emphasis"/>
          <w:rFonts w:ascii="Times New Roman" w:hAnsi="Times New Roman"/>
        </w:rPr>
        <w:t xml:space="preserve"> FD DFT vectors</w:t>
      </w:r>
    </w:p>
    <w:p w14:paraId="6B9237A7" w14:textId="77777777" w:rsidR="001B05A2" w:rsidRPr="001B05A2" w:rsidRDefault="001B05A2" w:rsidP="001B05A2">
      <w:pPr>
        <w:pStyle w:val="ListParagraph"/>
        <w:numPr>
          <w:ilvl w:val="1"/>
          <w:numId w:val="39"/>
        </w:numPr>
        <w:autoSpaceDN w:val="0"/>
        <w:spacing w:after="0"/>
        <w:rPr>
          <w:rStyle w:val="Emphasis"/>
          <w:rFonts w:ascii="Times New Roman" w:hAnsi="Times New Roman"/>
          <w:i w:val="0"/>
          <w:iCs w:val="0"/>
        </w:rPr>
      </w:pPr>
      <w:r w:rsidRPr="001B05A2">
        <w:rPr>
          <w:rStyle w:val="Emphasis"/>
          <w:rFonts w:ascii="Times New Roman" w:hAnsi="Times New Roman"/>
        </w:rPr>
        <w:t>“Coefficient subset selection” refers to the selection of K</w:t>
      </w:r>
      <w:r w:rsidRPr="001B05A2">
        <w:rPr>
          <w:rStyle w:val="Emphasis"/>
          <w:rFonts w:ascii="Times New Roman" w:hAnsi="Times New Roman"/>
          <w:vertAlign w:val="subscript"/>
        </w:rPr>
        <w:t>NZ</w:t>
      </w:r>
      <w:r w:rsidRPr="001B05A2">
        <w:rPr>
          <w:rStyle w:val="Emphasis"/>
          <w:rFonts w:ascii="Times New Roman" w:hAnsi="Times New Roman"/>
        </w:rPr>
        <w:t xml:space="preserve"> (# non-zero coefficients) out of 2LM where K</w:t>
      </w:r>
      <w:r w:rsidRPr="001B05A2">
        <w:rPr>
          <w:rStyle w:val="Emphasis"/>
          <w:rFonts w:ascii="Times New Roman" w:hAnsi="Times New Roman"/>
          <w:vertAlign w:val="subscript"/>
        </w:rPr>
        <w:t>NZ</w:t>
      </w:r>
      <w:r w:rsidRPr="001B05A2">
        <w:rPr>
          <w:rStyle w:val="Emphasis"/>
          <w:rFonts w:ascii="Times New Roman" w:hAnsi="Times New Roman"/>
        </w:rPr>
        <w:t xml:space="preserve"> ≤ K</w:t>
      </w:r>
      <w:r w:rsidRPr="001B05A2">
        <w:rPr>
          <w:rStyle w:val="Emphasis"/>
          <w:rFonts w:ascii="Times New Roman" w:hAnsi="Times New Roman"/>
          <w:vertAlign w:val="subscript"/>
        </w:rPr>
        <w:t>0</w:t>
      </w:r>
    </w:p>
    <w:p w14:paraId="636DEE76" w14:textId="77777777" w:rsidR="001B05A2" w:rsidRPr="001B05A2" w:rsidRDefault="001B05A2" w:rsidP="001B05A2">
      <w:pPr>
        <w:pStyle w:val="Style1"/>
        <w:numPr>
          <w:ilvl w:val="0"/>
          <w:numId w:val="38"/>
        </w:numPr>
        <w:spacing w:after="0" w:line="240" w:lineRule="auto"/>
        <w:rPr>
          <w:rFonts w:ascii="Times New Roman" w:hAnsi="Times New Roman" w:cs="Times New Roman"/>
          <w:lang w:val="en-US"/>
        </w:rPr>
      </w:pPr>
      <w:r w:rsidRPr="001B05A2">
        <w:rPr>
          <w:rFonts w:ascii="Times New Roman" w:hAnsi="Times New Roman" w:cs="Times New Roman"/>
          <w:lang w:val="en-US"/>
        </w:rPr>
        <w:t>The size-K</w:t>
      </w:r>
      <w:r w:rsidRPr="001B05A2">
        <w:rPr>
          <w:rFonts w:ascii="Times New Roman" w:hAnsi="Times New Roman" w:cs="Times New Roman"/>
          <w:vertAlign w:val="subscript"/>
          <w:lang w:val="en-US"/>
        </w:rPr>
        <w:t>0</w:t>
      </w:r>
      <w:r w:rsidRPr="001B05A2">
        <w:rPr>
          <w:rFonts w:ascii="Times New Roman" w:hAnsi="Times New Roman" w:cs="Times New Roman"/>
          <w:lang w:val="en-US"/>
        </w:rPr>
        <w:t xml:space="preserve"> subset design for layer 0 is also applied to layer 1</w:t>
      </w:r>
    </w:p>
    <w:p w14:paraId="0B621B2F" w14:textId="0A678A79" w:rsidR="001B05A2" w:rsidRDefault="001B05A2" w:rsidP="001B05A2">
      <w:pPr>
        <w:pStyle w:val="Style1"/>
        <w:numPr>
          <w:ilvl w:val="0"/>
          <w:numId w:val="38"/>
        </w:numPr>
        <w:spacing w:after="0" w:line="240" w:lineRule="auto"/>
        <w:rPr>
          <w:rFonts w:ascii="Times New Roman" w:hAnsi="Times New Roman" w:cs="Times New Roman"/>
          <w:iCs/>
          <w:lang w:val="en-US"/>
        </w:rPr>
      </w:pPr>
      <w:r w:rsidRPr="001B05A2">
        <w:rPr>
          <w:rFonts w:ascii="Times New Roman" w:hAnsi="Times New Roman" w:cs="Times New Roman"/>
          <w:iCs/>
          <w:lang w:val="en-US"/>
        </w:rPr>
        <w:t>K</w:t>
      </w:r>
      <w:r w:rsidRPr="001B05A2">
        <w:rPr>
          <w:rFonts w:ascii="Times New Roman" w:hAnsi="Times New Roman" w:cs="Times New Roman"/>
          <w:iCs/>
          <w:vertAlign w:val="subscript"/>
          <w:lang w:val="en-US"/>
        </w:rPr>
        <w:t>0</w:t>
      </w:r>
      <w:r w:rsidRPr="001B05A2">
        <w:rPr>
          <w:rFonts w:ascii="Times New Roman" w:hAnsi="Times New Roman" w:cs="Times New Roman"/>
          <w:iCs/>
          <w:lang w:val="en-US"/>
        </w:rPr>
        <w:t xml:space="preserve"> is the maximum number of non-zero coefficients for each layer.</w:t>
      </w:r>
    </w:p>
    <w:p w14:paraId="4137F470" w14:textId="77777777" w:rsidR="001B05A2" w:rsidRPr="001B05A2" w:rsidRDefault="001B05A2" w:rsidP="001B05A2">
      <w:pPr>
        <w:pStyle w:val="Style1"/>
        <w:numPr>
          <w:ilvl w:val="0"/>
          <w:numId w:val="38"/>
        </w:numPr>
        <w:spacing w:after="0" w:line="240" w:lineRule="auto"/>
        <w:rPr>
          <w:rFonts w:ascii="Times New Roman" w:hAnsi="Times New Roman" w:cs="Times New Roman"/>
          <w:iCs/>
          <w:lang w:val="en-US"/>
        </w:rPr>
      </w:pPr>
    </w:p>
    <w:p w14:paraId="64591695" w14:textId="77777777" w:rsidR="001B05A2" w:rsidRDefault="001B05A2" w:rsidP="001B05A2">
      <w:pPr>
        <w:rPr>
          <w:b/>
          <w:highlight w:val="green"/>
          <w:lang w:eastAsia="x-none"/>
        </w:rPr>
      </w:pPr>
      <w:r w:rsidRPr="001B05A2">
        <w:rPr>
          <w:b/>
          <w:highlight w:val="green"/>
          <w:lang w:eastAsia="x-none"/>
        </w:rPr>
        <w:t>Agreement</w:t>
      </w:r>
    </w:p>
    <w:p w14:paraId="61615870" w14:textId="6FC88823" w:rsidR="001B05A2" w:rsidRPr="001B05A2" w:rsidRDefault="001B05A2" w:rsidP="001B05A2">
      <w:pPr>
        <w:rPr>
          <w:lang w:eastAsia="x-none"/>
        </w:rPr>
      </w:pPr>
      <w:r w:rsidRPr="001B05A2">
        <w:rPr>
          <w:lang w:eastAsia="ko-KR"/>
        </w:rPr>
        <w:t xml:space="preserve">On LCC quantization, agree on Alt2 (differential per polarization) per the description in </w:t>
      </w:r>
      <w:hyperlink r:id="rId13" w:history="1">
        <w:r w:rsidRPr="001B05A2">
          <w:rPr>
            <w:rStyle w:val="Hyperlink"/>
            <w:lang w:eastAsia="ko-KR"/>
          </w:rPr>
          <w:t>R1-1902304</w:t>
        </w:r>
      </w:hyperlink>
    </w:p>
    <w:p w14:paraId="58AFC3AF" w14:textId="77777777" w:rsidR="001B05A2" w:rsidRPr="001B05A2" w:rsidRDefault="001B05A2" w:rsidP="001B05A2">
      <w:pPr>
        <w:pStyle w:val="Style1"/>
        <w:spacing w:after="0" w:line="240" w:lineRule="auto"/>
        <w:ind w:firstLine="0"/>
        <w:rPr>
          <w:rFonts w:ascii="Times New Roman" w:hAnsi="Times New Roman" w:cs="Times New Roman"/>
          <w:highlight w:val="green"/>
          <w:lang w:eastAsia="ko-KR"/>
        </w:rPr>
      </w:pPr>
      <w:r w:rsidRPr="001B05A2">
        <w:rPr>
          <w:rFonts w:ascii="Times New Roman" w:hAnsi="Times New Roman" w:cs="Times New Roman"/>
          <w:b/>
          <w:bCs/>
          <w:highlight w:val="green"/>
          <w:lang w:eastAsia="ko-KR"/>
        </w:rPr>
        <w:t>Agreement</w:t>
      </w:r>
    </w:p>
    <w:p w14:paraId="69F2FF17" w14:textId="77777777" w:rsidR="001B05A2" w:rsidRPr="001B05A2" w:rsidRDefault="001B05A2" w:rsidP="001B05A2">
      <w:pPr>
        <w:pStyle w:val="Style1"/>
        <w:spacing w:after="0" w:line="240" w:lineRule="auto"/>
        <w:ind w:firstLine="0"/>
        <w:rPr>
          <w:rFonts w:ascii="Times New Roman" w:hAnsi="Times New Roman" w:cs="Times New Roman"/>
          <w:lang w:eastAsia="ko-KR"/>
        </w:rPr>
      </w:pPr>
      <w:r w:rsidRPr="001B05A2">
        <w:rPr>
          <w:rFonts w:ascii="Times New Roman" w:hAnsi="Times New Roman" w:cs="Times New Roman"/>
          <w:lang w:eastAsia="ko-KR"/>
        </w:rPr>
        <w:t xml:space="preserve">For RI=2, the following is supported </w:t>
      </w:r>
    </w:p>
    <w:p w14:paraId="2A31127D" w14:textId="77777777" w:rsidR="001B05A2" w:rsidRPr="001B05A2" w:rsidRDefault="001B05A2" w:rsidP="001B05A2">
      <w:pPr>
        <w:pStyle w:val="Style1"/>
        <w:numPr>
          <w:ilvl w:val="0"/>
          <w:numId w:val="40"/>
        </w:numPr>
        <w:spacing w:after="0" w:line="240" w:lineRule="auto"/>
        <w:rPr>
          <w:rFonts w:ascii="Times New Roman" w:hAnsi="Times New Roman" w:cs="Times New Roman"/>
          <w:lang w:eastAsia="zh-CN"/>
        </w:rPr>
      </w:pPr>
      <w:r w:rsidRPr="001B05A2">
        <w:rPr>
          <w:rFonts w:ascii="Times New Roman" w:hAnsi="Times New Roman" w:cs="Times New Roman"/>
          <w:lang w:eastAsia="ko-KR"/>
        </w:rPr>
        <w:t xml:space="preserve">Layer-independent FD basis subset selection </w:t>
      </w:r>
    </w:p>
    <w:p w14:paraId="379F05ED" w14:textId="77777777" w:rsidR="001B05A2" w:rsidRPr="001B05A2" w:rsidRDefault="001B05A2" w:rsidP="001B05A2">
      <w:pPr>
        <w:pStyle w:val="Style1"/>
        <w:numPr>
          <w:ilvl w:val="0"/>
          <w:numId w:val="40"/>
        </w:numPr>
        <w:spacing w:after="0" w:line="240" w:lineRule="auto"/>
        <w:rPr>
          <w:rFonts w:ascii="Times New Roman" w:hAnsi="Times New Roman" w:cs="Times New Roman"/>
          <w:lang w:eastAsia="zh-CN"/>
        </w:rPr>
      </w:pPr>
      <w:r w:rsidRPr="001B05A2">
        <w:rPr>
          <w:rFonts w:ascii="Times New Roman" w:hAnsi="Times New Roman" w:cs="Times New Roman"/>
          <w:lang w:eastAsia="ko-KR"/>
        </w:rPr>
        <w:t>Layer-independent coefficient subset selection</w:t>
      </w:r>
    </w:p>
    <w:p w14:paraId="739E8714" w14:textId="77777777" w:rsidR="001B05A2" w:rsidRPr="001B05A2" w:rsidRDefault="001B05A2" w:rsidP="001B05A2">
      <w:pPr>
        <w:rPr>
          <w:b/>
          <w:highlight w:val="green"/>
          <w:lang w:eastAsia="x-none"/>
        </w:rPr>
      </w:pPr>
      <w:r w:rsidRPr="001B05A2">
        <w:rPr>
          <w:b/>
          <w:highlight w:val="green"/>
          <w:lang w:eastAsia="x-none"/>
        </w:rPr>
        <w:t>Agreement</w:t>
      </w:r>
    </w:p>
    <w:p w14:paraId="23B0F351" w14:textId="515EC7DC" w:rsidR="001B05A2" w:rsidRDefault="001B05A2" w:rsidP="001B05A2">
      <w:pPr>
        <w:rPr>
          <w:lang w:val="en-US"/>
        </w:rPr>
      </w:pPr>
      <w:r w:rsidRPr="001B05A2">
        <w:rPr>
          <w:lang w:val="en-US" w:eastAsia="ko-KR"/>
        </w:rPr>
        <w:t>On the values of N</w:t>
      </w:r>
      <w:r w:rsidRPr="001B05A2">
        <w:rPr>
          <w:vertAlign w:val="subscript"/>
          <w:lang w:val="en-US" w:eastAsia="ko-KR"/>
        </w:rPr>
        <w:t>3</w:t>
      </w:r>
      <w:r w:rsidRPr="001B05A2">
        <w:rPr>
          <w:lang w:val="en-US" w:eastAsia="ko-KR"/>
        </w:rPr>
        <w:t xml:space="preserve">, further discuss and clarify/refine both of the available alternatives </w:t>
      </w:r>
      <w:r w:rsidRPr="001B05A2">
        <w:rPr>
          <w:lang w:val="en-US"/>
        </w:rPr>
        <w:t xml:space="preserve">with </w:t>
      </w:r>
      <w:r w:rsidRPr="001B05A2">
        <w:rPr>
          <w:position w:val="-14"/>
          <w:sz w:val="22"/>
          <w:lang w:val="en-US" w:eastAsia="en-US"/>
        </w:rPr>
        <w:object w:dxaOrig="1470" w:dyaOrig="405" w14:anchorId="200BC5BC">
          <v:shape id="_x0000_i1026" type="#_x0000_t75" style="width:73.6pt;height:20.4pt" o:ole="">
            <v:imagedata r:id="rId14" o:title=""/>
          </v:shape>
          <o:OLEObject Type="Embed" ProgID="Equation.DSMT4" ShapeID="_x0000_i1026" DrawAspect="Content" ObjectID="_1615818355" r:id="rId15"/>
        </w:object>
      </w:r>
      <w:r w:rsidRPr="001B05A2">
        <w:rPr>
          <w:lang w:val="en-US"/>
        </w:rPr>
        <w:t xml:space="preserve"> as the evaluation baseline </w:t>
      </w:r>
    </w:p>
    <w:p w14:paraId="1C3301A3" w14:textId="77777777" w:rsidR="001B05A2" w:rsidRPr="001B05A2" w:rsidRDefault="001B05A2" w:rsidP="001B05A2">
      <w:pPr>
        <w:rPr>
          <w:b/>
          <w:highlight w:val="green"/>
          <w:lang w:eastAsia="x-none"/>
        </w:rPr>
      </w:pPr>
      <w:r w:rsidRPr="001B05A2">
        <w:rPr>
          <w:b/>
          <w:highlight w:val="green"/>
          <w:lang w:eastAsia="x-none"/>
        </w:rPr>
        <w:t>Agreement</w:t>
      </w:r>
    </w:p>
    <w:p w14:paraId="6BD28661" w14:textId="77777777" w:rsidR="001B05A2" w:rsidRPr="001B05A2" w:rsidRDefault="001B05A2" w:rsidP="001B05A2">
      <w:pPr>
        <w:rPr>
          <w:rFonts w:eastAsia="Malgun Gothic"/>
          <w:szCs w:val="22"/>
          <w:lang w:eastAsia="en-US"/>
        </w:rPr>
      </w:pPr>
      <w:r w:rsidRPr="001B05A2">
        <w:rPr>
          <w:rFonts w:eastAsia="Malgun Gothic"/>
          <w:szCs w:val="22"/>
        </w:rPr>
        <w:t xml:space="preserve">Decide in RAN1#96bis whether to support </w:t>
      </w:r>
      <w:r w:rsidRPr="001B05A2">
        <w:rPr>
          <w:rFonts w:eastAsia="Malgun Gothic"/>
          <w:i/>
          <w:szCs w:val="22"/>
        </w:rPr>
        <w:t>L</w:t>
      </w:r>
      <w:r w:rsidRPr="001B05A2">
        <w:rPr>
          <w:rFonts w:eastAsia="Malgun Gothic"/>
          <w:szCs w:val="22"/>
        </w:rPr>
        <w:t xml:space="preserve">=6 (in addition to </w:t>
      </w:r>
      <w:r w:rsidRPr="001B05A2">
        <w:rPr>
          <w:rFonts w:eastAsia="Malgun Gothic"/>
          <w:i/>
          <w:szCs w:val="22"/>
        </w:rPr>
        <w:t>L</w:t>
      </w:r>
      <w:r w:rsidRPr="001B05A2">
        <w:rPr>
          <w:rFonts w:eastAsia="Malgun Gothic"/>
          <w:szCs w:val="22"/>
        </w:rPr>
        <w:t xml:space="preserve">=2 and 4) </w:t>
      </w:r>
      <w:proofErr w:type="gramStart"/>
      <w:r w:rsidRPr="001B05A2">
        <w:rPr>
          <w:rFonts w:eastAsia="Malgun Gothic"/>
          <w:szCs w:val="22"/>
        </w:rPr>
        <w:t>taking into account</w:t>
      </w:r>
      <w:proofErr w:type="gramEnd"/>
      <w:r w:rsidRPr="001B05A2">
        <w:rPr>
          <w:rFonts w:eastAsia="Malgun Gothic"/>
          <w:szCs w:val="22"/>
        </w:rPr>
        <w:t xml:space="preserve"> </w:t>
      </w:r>
      <w:r w:rsidRPr="001B05A2">
        <w:rPr>
          <w:szCs w:val="22"/>
        </w:rPr>
        <w:t>RI</w:t>
      </w:r>
      <w:r w:rsidRPr="001B05A2">
        <w:rPr>
          <w:szCs w:val="22"/>
        </w:rPr>
        <w:sym w:font="Symbol" w:char="F0CE"/>
      </w:r>
      <w:r w:rsidRPr="001B05A2">
        <w:rPr>
          <w:szCs w:val="22"/>
        </w:rPr>
        <w:t>{3,4}</w:t>
      </w:r>
      <w:r w:rsidRPr="001B05A2">
        <w:rPr>
          <w:rFonts w:eastAsia="Malgun Gothic"/>
          <w:szCs w:val="22"/>
        </w:rPr>
        <w:t xml:space="preserve"> and/or 32 ports</w:t>
      </w:r>
    </w:p>
    <w:p w14:paraId="067A31FA" w14:textId="77777777" w:rsidR="001B05A2" w:rsidRPr="001B05A2" w:rsidRDefault="001B05A2" w:rsidP="001B05A2">
      <w:pPr>
        <w:pStyle w:val="ListParagraph"/>
        <w:numPr>
          <w:ilvl w:val="0"/>
          <w:numId w:val="43"/>
        </w:numPr>
        <w:autoSpaceDN w:val="0"/>
        <w:spacing w:after="0"/>
        <w:rPr>
          <w:rFonts w:ascii="Times New Roman" w:eastAsia="Malgun Gothic" w:hAnsi="Times New Roman"/>
          <w:szCs w:val="22"/>
        </w:rPr>
      </w:pPr>
      <w:r w:rsidRPr="001B05A2">
        <w:rPr>
          <w:rFonts w:ascii="Times New Roman" w:eastAsia="Malgun Gothic" w:hAnsi="Times New Roman"/>
          <w:szCs w:val="22"/>
        </w:rPr>
        <w:t xml:space="preserve">Also consider possible restriction(s) on the use case for supporting the additional value(s) of </w:t>
      </w:r>
      <w:r w:rsidRPr="001B05A2">
        <w:rPr>
          <w:rFonts w:ascii="Times New Roman" w:eastAsia="Malgun Gothic" w:hAnsi="Times New Roman"/>
          <w:i/>
          <w:szCs w:val="22"/>
        </w:rPr>
        <w:t>L</w:t>
      </w:r>
      <w:r w:rsidRPr="001B05A2">
        <w:rPr>
          <w:rFonts w:ascii="Times New Roman" w:eastAsia="Malgun Gothic" w:hAnsi="Times New Roman"/>
          <w:szCs w:val="22"/>
        </w:rPr>
        <w:t xml:space="preserve"> </w:t>
      </w:r>
    </w:p>
    <w:p w14:paraId="5FC00D8B" w14:textId="77777777" w:rsidR="001B05A2" w:rsidRPr="001B05A2" w:rsidRDefault="001B05A2" w:rsidP="001B05A2"/>
    <w:p w14:paraId="1FCAA12A" w14:textId="241F3F63" w:rsidR="001B05A2" w:rsidRPr="001B05A2" w:rsidRDefault="001B05A2" w:rsidP="001B05A2">
      <w:pPr>
        <w:rPr>
          <w:lang w:val="en-US" w:eastAsia="x-none"/>
        </w:rPr>
      </w:pPr>
      <w:r>
        <w:rPr>
          <w:lang w:val="en-US"/>
        </w:rPr>
        <w:t xml:space="preserve">Furthermore, it was agreed to extend the DFT-based compression codebook to RI=3-4, and some </w:t>
      </w:r>
      <w:proofErr w:type="gramStart"/>
      <w:r>
        <w:rPr>
          <w:lang w:val="en-US"/>
        </w:rPr>
        <w:t>high level</w:t>
      </w:r>
      <w:proofErr w:type="gramEnd"/>
      <w:r>
        <w:rPr>
          <w:lang w:val="en-US"/>
        </w:rPr>
        <w:t xml:space="preserve"> categorization schemes was agreed.</w:t>
      </w:r>
    </w:p>
    <w:p w14:paraId="3B959CA1" w14:textId="77777777" w:rsidR="001B05A2" w:rsidRPr="001B05A2" w:rsidRDefault="001B05A2" w:rsidP="001B05A2">
      <w:pPr>
        <w:pStyle w:val="Style1"/>
        <w:spacing w:after="0" w:line="240" w:lineRule="auto"/>
        <w:ind w:firstLine="0"/>
        <w:rPr>
          <w:rFonts w:ascii="Times New Roman" w:hAnsi="Times New Roman" w:cs="Times New Roman"/>
          <w:highlight w:val="green"/>
          <w:lang w:val="en-US"/>
        </w:rPr>
      </w:pPr>
      <w:r w:rsidRPr="001B05A2">
        <w:rPr>
          <w:rFonts w:ascii="Times New Roman" w:hAnsi="Times New Roman" w:cs="Times New Roman"/>
          <w:b/>
          <w:highlight w:val="green"/>
          <w:lang w:val="en-US"/>
        </w:rPr>
        <w:t>Agreement</w:t>
      </w:r>
    </w:p>
    <w:p w14:paraId="75A69431" w14:textId="77777777" w:rsidR="001B05A2" w:rsidRPr="001B05A2" w:rsidRDefault="001B05A2" w:rsidP="001B05A2">
      <w:pPr>
        <w:pStyle w:val="Style1"/>
        <w:spacing w:after="0" w:line="240" w:lineRule="auto"/>
        <w:ind w:firstLine="0"/>
        <w:rPr>
          <w:rFonts w:ascii="Times New Roman" w:hAnsi="Times New Roman" w:cs="Times New Roman"/>
          <w:lang w:val="en-US"/>
        </w:rPr>
      </w:pPr>
      <w:r w:rsidRPr="001B05A2">
        <w:rPr>
          <w:rFonts w:ascii="Times New Roman" w:hAnsi="Times New Roman" w:cs="Times New Roman"/>
          <w:lang w:val="en-US" w:eastAsia="ko-KR"/>
        </w:rPr>
        <w:t xml:space="preserve">Extend the Type II </w:t>
      </w:r>
      <w:r w:rsidRPr="001B05A2">
        <w:rPr>
          <w:rFonts w:ascii="Times New Roman" w:hAnsi="Times New Roman" w:cs="Times New Roman"/>
          <w:lang w:val="en-US"/>
        </w:rPr>
        <w:t>DFT-based compression (designed for RI=1-2) to RI=3-4 with the following design principle:</w:t>
      </w:r>
    </w:p>
    <w:p w14:paraId="3C950F49" w14:textId="00769A77" w:rsidR="001B05A2" w:rsidRPr="001B05A2" w:rsidRDefault="001B05A2" w:rsidP="00A35CD5">
      <w:pPr>
        <w:pStyle w:val="Style1"/>
        <w:numPr>
          <w:ilvl w:val="0"/>
          <w:numId w:val="36"/>
        </w:numPr>
        <w:spacing w:after="0" w:line="240" w:lineRule="auto"/>
        <w:rPr>
          <w:rFonts w:ascii="Times New Roman" w:hAnsi="Times New Roman" w:cs="Times New Roman"/>
          <w:lang w:val="en-US" w:eastAsia="x-none"/>
        </w:rPr>
      </w:pPr>
      <w:r w:rsidRPr="001B05A2">
        <w:rPr>
          <w:rFonts w:ascii="Times New Roman" w:hAnsi="Times New Roman" w:cs="Times New Roman"/>
          <w:lang w:val="en-US"/>
        </w:rPr>
        <w:lastRenderedPageBreak/>
        <w:t xml:space="preserve">The resulting overhead for RI=3-4 is at least comparable to that for RI=2 </w:t>
      </w:r>
    </w:p>
    <w:p w14:paraId="5F2E3E9C" w14:textId="77777777" w:rsidR="001B05A2" w:rsidRPr="001B05A2" w:rsidRDefault="001B05A2" w:rsidP="001B05A2">
      <w:pPr>
        <w:rPr>
          <w:lang w:eastAsia="x-none"/>
        </w:rPr>
      </w:pPr>
    </w:p>
    <w:p w14:paraId="0C24D917" w14:textId="77777777" w:rsidR="001B05A2" w:rsidRPr="001B05A2" w:rsidRDefault="001B05A2" w:rsidP="001B05A2">
      <w:pPr>
        <w:rPr>
          <w:b/>
          <w:highlight w:val="green"/>
          <w:lang w:eastAsia="x-none"/>
        </w:rPr>
      </w:pPr>
      <w:r w:rsidRPr="001B05A2">
        <w:rPr>
          <w:b/>
          <w:highlight w:val="green"/>
          <w:lang w:eastAsia="x-none"/>
        </w:rPr>
        <w:t>Agreement</w:t>
      </w:r>
    </w:p>
    <w:p w14:paraId="1F497168" w14:textId="5E039744" w:rsidR="001B05A2" w:rsidRDefault="001B05A2" w:rsidP="001B05A2">
      <w:pPr>
        <w:rPr>
          <w:lang w:eastAsia="x-none"/>
        </w:rPr>
      </w:pPr>
      <w:r w:rsidRPr="001B05A2">
        <w:rPr>
          <w:szCs w:val="22"/>
        </w:rPr>
        <w:t>For RI</w:t>
      </w:r>
      <w:r w:rsidRPr="001B05A2">
        <w:rPr>
          <w:szCs w:val="22"/>
        </w:rPr>
        <w:sym w:font="Symbol" w:char="F0CE"/>
      </w:r>
      <w:r w:rsidRPr="001B05A2">
        <w:rPr>
          <w:szCs w:val="22"/>
        </w:rPr>
        <w:t>{3,4}, different layers are independently quantized just as RI=1 and</w:t>
      </w:r>
      <w:r w:rsidR="0020762A">
        <w:rPr>
          <w:szCs w:val="22"/>
        </w:rPr>
        <w:t xml:space="preserve"> RI=2</w:t>
      </w:r>
      <w:r w:rsidRPr="001B05A2">
        <w:rPr>
          <w:szCs w:val="22"/>
        </w:rPr>
        <w:t xml:space="preserve"> </w:t>
      </w:r>
    </w:p>
    <w:p w14:paraId="530B18BD" w14:textId="33D5772B" w:rsidR="001B05A2" w:rsidRPr="001B05A2" w:rsidRDefault="001B05A2" w:rsidP="001B05A2">
      <w:pPr>
        <w:rPr>
          <w:lang w:eastAsia="x-none"/>
        </w:rPr>
      </w:pPr>
      <w:r w:rsidRPr="001B05A2">
        <w:rPr>
          <w:b/>
          <w:highlight w:val="green"/>
          <w:lang w:eastAsia="x-none"/>
        </w:rPr>
        <w:t>Agreement</w:t>
      </w:r>
    </w:p>
    <w:p w14:paraId="6BC0FF9F" w14:textId="77777777" w:rsidR="001B05A2" w:rsidRPr="001B05A2" w:rsidRDefault="001B05A2" w:rsidP="001B05A2">
      <w:pPr>
        <w:rPr>
          <w:szCs w:val="22"/>
          <w:lang w:eastAsia="en-US"/>
        </w:rPr>
      </w:pPr>
      <w:r w:rsidRPr="001B05A2">
        <w:rPr>
          <w:szCs w:val="22"/>
        </w:rPr>
        <w:t>On SD and FD basis selection for RI</w:t>
      </w:r>
      <w:r w:rsidRPr="001B05A2">
        <w:rPr>
          <w:szCs w:val="22"/>
        </w:rPr>
        <w:sym w:font="Symbol" w:char="F0CE"/>
      </w:r>
      <w:r w:rsidRPr="001B05A2">
        <w:rPr>
          <w:szCs w:val="22"/>
        </w:rPr>
        <w:t>{3,4}</w:t>
      </w:r>
    </w:p>
    <w:p w14:paraId="661B655B" w14:textId="77777777" w:rsidR="001B05A2" w:rsidRPr="001B05A2" w:rsidRDefault="001B05A2" w:rsidP="001B05A2">
      <w:pPr>
        <w:pStyle w:val="ListParagraph"/>
        <w:numPr>
          <w:ilvl w:val="0"/>
          <w:numId w:val="41"/>
        </w:numPr>
        <w:autoSpaceDN w:val="0"/>
        <w:spacing w:after="0"/>
        <w:rPr>
          <w:rFonts w:ascii="Times New Roman" w:hAnsi="Times New Roman"/>
          <w:szCs w:val="22"/>
        </w:rPr>
      </w:pPr>
      <w:r w:rsidRPr="001B05A2">
        <w:rPr>
          <w:rFonts w:ascii="Times New Roman" w:hAnsi="Times New Roman"/>
          <w:szCs w:val="22"/>
        </w:rPr>
        <w:t xml:space="preserve">The parameter </w:t>
      </w:r>
      <w:r w:rsidRPr="001B05A2">
        <w:rPr>
          <w:rFonts w:ascii="Times New Roman" w:hAnsi="Times New Roman"/>
          <w:i/>
          <w:szCs w:val="22"/>
        </w:rPr>
        <w:t>R</w:t>
      </w:r>
      <w:r w:rsidRPr="001B05A2">
        <w:rPr>
          <w:rFonts w:ascii="Times New Roman" w:hAnsi="Times New Roman"/>
          <w:szCs w:val="22"/>
        </w:rPr>
        <w:t xml:space="preserve"> is layer-common and RI-common</w:t>
      </w:r>
    </w:p>
    <w:p w14:paraId="440C31CB" w14:textId="77777777" w:rsidR="001B05A2" w:rsidRPr="001B05A2" w:rsidRDefault="001B05A2" w:rsidP="001B05A2">
      <w:pPr>
        <w:pStyle w:val="ListParagraph"/>
        <w:numPr>
          <w:ilvl w:val="0"/>
          <w:numId w:val="41"/>
        </w:numPr>
        <w:autoSpaceDN w:val="0"/>
        <w:spacing w:after="0"/>
        <w:rPr>
          <w:rFonts w:ascii="Times New Roman" w:hAnsi="Times New Roman"/>
          <w:szCs w:val="22"/>
        </w:rPr>
      </w:pPr>
      <w:r w:rsidRPr="001B05A2">
        <w:rPr>
          <w:rFonts w:ascii="Times New Roman" w:hAnsi="Times New Roman"/>
          <w:szCs w:val="22"/>
        </w:rPr>
        <w:t>For the higher-layer setting of SD/FD basis parameters (</w:t>
      </w:r>
      <w:r w:rsidRPr="001B05A2">
        <w:rPr>
          <w:rFonts w:ascii="Times New Roman" w:hAnsi="Times New Roman"/>
          <w:i/>
          <w:szCs w:val="22"/>
        </w:rPr>
        <w:t>L</w:t>
      </w:r>
      <w:r w:rsidRPr="001B05A2">
        <w:rPr>
          <w:rFonts w:ascii="Times New Roman" w:hAnsi="Times New Roman"/>
          <w:szCs w:val="22"/>
        </w:rPr>
        <w:t xml:space="preserve">, </w:t>
      </w:r>
      <w:r w:rsidRPr="001B05A2">
        <w:rPr>
          <w:rFonts w:ascii="Times New Roman" w:hAnsi="Times New Roman"/>
          <w:i/>
          <w:szCs w:val="22"/>
        </w:rPr>
        <w:t>p</w:t>
      </w:r>
      <w:r w:rsidRPr="001B05A2">
        <w:rPr>
          <w:rFonts w:ascii="Times New Roman" w:hAnsi="Times New Roman"/>
          <w:szCs w:val="22"/>
        </w:rPr>
        <w:t>):</w:t>
      </w:r>
    </w:p>
    <w:p w14:paraId="22DF1B81" w14:textId="77777777" w:rsidR="001B05A2" w:rsidRPr="001B05A2" w:rsidRDefault="001B05A2" w:rsidP="001B05A2">
      <w:pPr>
        <w:pStyle w:val="ListParagraph"/>
        <w:numPr>
          <w:ilvl w:val="1"/>
          <w:numId w:val="41"/>
        </w:numPr>
        <w:autoSpaceDN w:val="0"/>
        <w:spacing w:after="0"/>
        <w:rPr>
          <w:rFonts w:ascii="Times New Roman" w:hAnsi="Times New Roman"/>
          <w:szCs w:val="22"/>
        </w:rPr>
      </w:pPr>
      <w:r w:rsidRPr="001B05A2">
        <w:rPr>
          <w:rFonts w:ascii="Times New Roman" w:hAnsi="Times New Roman"/>
          <w:szCs w:val="22"/>
        </w:rPr>
        <w:t>Down select among the following alternatives for the higher-layer setting of SD/FD basis parameters (</w:t>
      </w:r>
      <w:r w:rsidRPr="001B05A2">
        <w:rPr>
          <w:rFonts w:ascii="Times New Roman" w:hAnsi="Times New Roman"/>
          <w:i/>
          <w:szCs w:val="22"/>
        </w:rPr>
        <w:t>L</w:t>
      </w:r>
      <w:r w:rsidRPr="001B05A2">
        <w:rPr>
          <w:rFonts w:ascii="Times New Roman" w:hAnsi="Times New Roman"/>
          <w:szCs w:val="22"/>
        </w:rPr>
        <w:t xml:space="preserve">, </w:t>
      </w:r>
      <w:r w:rsidRPr="001B05A2">
        <w:rPr>
          <w:rFonts w:ascii="Times New Roman" w:hAnsi="Times New Roman"/>
          <w:i/>
          <w:szCs w:val="22"/>
        </w:rPr>
        <w:t>p</w:t>
      </w:r>
      <w:r w:rsidRPr="001B05A2">
        <w:rPr>
          <w:rFonts w:ascii="Times New Roman" w:hAnsi="Times New Roman"/>
          <w:szCs w:val="22"/>
        </w:rPr>
        <w:t>):</w:t>
      </w:r>
    </w:p>
    <w:p w14:paraId="642EE6C6"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Alt1 RI-common for RI</w:t>
      </w:r>
      <w:r w:rsidRPr="001B05A2">
        <w:rPr>
          <w:rFonts w:ascii="Times New Roman" w:hAnsi="Times New Roman"/>
          <w:szCs w:val="22"/>
        </w:rPr>
        <w:sym w:font="Symbol" w:char="F0CE"/>
      </w:r>
      <w:r w:rsidRPr="001B05A2">
        <w:rPr>
          <w:rFonts w:ascii="Times New Roman" w:hAnsi="Times New Roman"/>
          <w:szCs w:val="22"/>
        </w:rPr>
        <w:t xml:space="preserve">{1,2,3,4}, layer-common </w:t>
      </w:r>
    </w:p>
    <w:p w14:paraId="76581BA2"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Alt2 RI-common for RI</w:t>
      </w:r>
      <w:r w:rsidRPr="001B05A2">
        <w:rPr>
          <w:rFonts w:ascii="Times New Roman" w:hAnsi="Times New Roman"/>
          <w:szCs w:val="22"/>
        </w:rPr>
        <w:sym w:font="Symbol" w:char="F0CE"/>
      </w:r>
      <w:r w:rsidRPr="001B05A2">
        <w:rPr>
          <w:rFonts w:ascii="Times New Roman" w:hAnsi="Times New Roman"/>
          <w:szCs w:val="22"/>
        </w:rPr>
        <w:t>{1,2,3,4}, layer-/layer-group-specific</w:t>
      </w:r>
    </w:p>
    <w:p w14:paraId="2D2910A9"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Alt3 RI-common for RI</w:t>
      </w:r>
      <w:r w:rsidRPr="001B05A2">
        <w:rPr>
          <w:rFonts w:ascii="Times New Roman" w:hAnsi="Times New Roman"/>
          <w:szCs w:val="22"/>
        </w:rPr>
        <w:sym w:font="Symbol" w:char="F0CE"/>
      </w:r>
      <w:r w:rsidRPr="001B05A2">
        <w:rPr>
          <w:rFonts w:ascii="Times New Roman" w:hAnsi="Times New Roman"/>
          <w:szCs w:val="22"/>
        </w:rPr>
        <w:t xml:space="preserve">{3,4}, layer-common </w:t>
      </w:r>
    </w:p>
    <w:p w14:paraId="1B70F226"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Alt4 RI-common for RI</w:t>
      </w:r>
      <w:r w:rsidRPr="001B05A2">
        <w:rPr>
          <w:rFonts w:ascii="Times New Roman" w:hAnsi="Times New Roman"/>
          <w:szCs w:val="22"/>
        </w:rPr>
        <w:sym w:font="Symbol" w:char="F0CE"/>
      </w:r>
      <w:r w:rsidRPr="001B05A2">
        <w:rPr>
          <w:rFonts w:ascii="Times New Roman" w:hAnsi="Times New Roman"/>
          <w:szCs w:val="22"/>
        </w:rPr>
        <w:t>{3,4}, layer-/layer-group-specific</w:t>
      </w:r>
    </w:p>
    <w:p w14:paraId="57064B9C"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Alt5 RI-specific for RI</w:t>
      </w:r>
      <w:r w:rsidRPr="001B05A2">
        <w:rPr>
          <w:rFonts w:ascii="Times New Roman" w:hAnsi="Times New Roman"/>
          <w:szCs w:val="22"/>
        </w:rPr>
        <w:sym w:font="Symbol" w:char="F0CE"/>
      </w:r>
      <w:r w:rsidRPr="001B05A2">
        <w:rPr>
          <w:rFonts w:ascii="Times New Roman" w:hAnsi="Times New Roman"/>
          <w:szCs w:val="22"/>
        </w:rPr>
        <w:t>{3,4}, layer-common</w:t>
      </w:r>
    </w:p>
    <w:p w14:paraId="278F752B"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Alt6 RI-specific for RI</w:t>
      </w:r>
      <w:r w:rsidRPr="001B05A2">
        <w:rPr>
          <w:rFonts w:ascii="Times New Roman" w:hAnsi="Times New Roman"/>
          <w:szCs w:val="22"/>
        </w:rPr>
        <w:sym w:font="Symbol" w:char="F0CE"/>
      </w:r>
      <w:r w:rsidRPr="001B05A2">
        <w:rPr>
          <w:rFonts w:ascii="Times New Roman" w:hAnsi="Times New Roman"/>
          <w:szCs w:val="22"/>
        </w:rPr>
        <w:t>{3,4}, layer-/layer-group-specific</w:t>
      </w:r>
    </w:p>
    <w:p w14:paraId="458EAFC3" w14:textId="77777777" w:rsidR="001B05A2" w:rsidRPr="001B05A2" w:rsidRDefault="001B05A2" w:rsidP="001B05A2">
      <w:pPr>
        <w:pStyle w:val="ListParagraph"/>
        <w:numPr>
          <w:ilvl w:val="1"/>
          <w:numId w:val="41"/>
        </w:numPr>
        <w:autoSpaceDN w:val="0"/>
        <w:spacing w:after="0"/>
        <w:rPr>
          <w:rFonts w:ascii="Times New Roman" w:hAnsi="Times New Roman"/>
          <w:szCs w:val="22"/>
        </w:rPr>
      </w:pPr>
      <w:r w:rsidRPr="001B05A2">
        <w:rPr>
          <w:rFonts w:ascii="Times New Roman" w:hAnsi="Times New Roman"/>
          <w:szCs w:val="22"/>
        </w:rPr>
        <w:t>Note: For RI=1 and 2, RI-common, layer-common setting has been agreed</w:t>
      </w:r>
    </w:p>
    <w:p w14:paraId="0DF9AE13" w14:textId="77777777" w:rsidR="001B05A2" w:rsidRPr="001B05A2" w:rsidRDefault="001B05A2" w:rsidP="001B05A2">
      <w:pPr>
        <w:pStyle w:val="ListParagraph"/>
        <w:numPr>
          <w:ilvl w:val="1"/>
          <w:numId w:val="41"/>
        </w:numPr>
        <w:autoSpaceDN w:val="0"/>
        <w:spacing w:after="0"/>
        <w:rPr>
          <w:rFonts w:ascii="Times New Roman" w:hAnsi="Times New Roman"/>
          <w:szCs w:val="22"/>
        </w:rPr>
      </w:pPr>
      <w:r w:rsidRPr="001B05A2">
        <w:rPr>
          <w:rFonts w:ascii="Times New Roman" w:hAnsi="Times New Roman"/>
          <w:szCs w:val="22"/>
        </w:rPr>
        <w:t>Note: No other alternatives will be considered</w:t>
      </w:r>
    </w:p>
    <w:p w14:paraId="5FC96C3E" w14:textId="77777777" w:rsidR="001B05A2" w:rsidRPr="001B05A2" w:rsidRDefault="001B05A2" w:rsidP="001B05A2">
      <w:pPr>
        <w:rPr>
          <w:lang w:eastAsia="x-none"/>
        </w:rPr>
      </w:pPr>
    </w:p>
    <w:p w14:paraId="4D4A7EB5" w14:textId="77777777" w:rsidR="001B05A2" w:rsidRPr="001B05A2" w:rsidRDefault="001B05A2" w:rsidP="001B05A2">
      <w:pPr>
        <w:rPr>
          <w:b/>
          <w:highlight w:val="green"/>
          <w:lang w:eastAsia="x-none"/>
        </w:rPr>
      </w:pPr>
      <w:r w:rsidRPr="001B05A2">
        <w:rPr>
          <w:b/>
          <w:highlight w:val="green"/>
          <w:lang w:eastAsia="x-none"/>
        </w:rPr>
        <w:t>Agreement</w:t>
      </w:r>
    </w:p>
    <w:p w14:paraId="3DEBCD15" w14:textId="77777777" w:rsidR="001B05A2" w:rsidRPr="001B05A2" w:rsidRDefault="001B05A2" w:rsidP="001B05A2">
      <w:pPr>
        <w:rPr>
          <w:szCs w:val="22"/>
          <w:lang w:eastAsia="en-US"/>
        </w:rPr>
      </w:pPr>
      <w:r w:rsidRPr="001B05A2">
        <w:rPr>
          <w:szCs w:val="22"/>
        </w:rPr>
        <w:t>On the max # NZ coefficients for RI</w:t>
      </w:r>
      <w:r w:rsidRPr="001B05A2">
        <w:rPr>
          <w:szCs w:val="22"/>
        </w:rPr>
        <w:sym w:font="Symbol" w:char="F0CE"/>
      </w:r>
      <w:r w:rsidRPr="001B05A2">
        <w:rPr>
          <w:szCs w:val="22"/>
        </w:rPr>
        <w:t>{3,4}, down select from the following alternatives (no other alternatives will be considered)</w:t>
      </w:r>
    </w:p>
    <w:p w14:paraId="1A27649D" w14:textId="77777777" w:rsidR="001B05A2" w:rsidRP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Alt0. For RI</w:t>
      </w:r>
      <w:r w:rsidRPr="001B05A2">
        <w:rPr>
          <w:rFonts w:ascii="Times New Roman" w:hAnsi="Times New Roman"/>
          <w:szCs w:val="22"/>
        </w:rPr>
        <w:sym w:font="Symbol" w:char="F0CE"/>
      </w:r>
      <w:r w:rsidRPr="001B05A2">
        <w:rPr>
          <w:rFonts w:ascii="Times New Roman" w:hAnsi="Times New Roman"/>
          <w:szCs w:val="22"/>
        </w:rPr>
        <w:t xml:space="preserve">{1,2,3,4}, there is only one β value </w:t>
      </w:r>
    </w:p>
    <w:p w14:paraId="744BA789" w14:textId="77777777" w:rsidR="001B05A2" w:rsidRP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Alt1. Total max # NZ coefficients across all layers ≤ 2</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lang w:val="en-US"/>
        </w:rPr>
        <w:t xml:space="preserve"> (the </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lang w:val="en-US"/>
        </w:rPr>
        <w:t xml:space="preserve"> value set for </w:t>
      </w:r>
      <w:r w:rsidRPr="001B05A2">
        <w:rPr>
          <w:rFonts w:ascii="Times New Roman" w:hAnsi="Times New Roman"/>
          <w:szCs w:val="22"/>
        </w:rPr>
        <w:t>RI</w:t>
      </w:r>
      <w:r w:rsidRPr="001B05A2">
        <w:rPr>
          <w:rFonts w:ascii="Times New Roman" w:hAnsi="Times New Roman"/>
          <w:szCs w:val="22"/>
        </w:rPr>
        <w:sym w:font="Symbol" w:char="F0CE"/>
      </w:r>
      <w:r w:rsidRPr="001B05A2">
        <w:rPr>
          <w:rFonts w:ascii="Times New Roman" w:hAnsi="Times New Roman"/>
          <w:szCs w:val="22"/>
        </w:rPr>
        <w:t>{1,2}</w:t>
      </w:r>
      <w:r w:rsidRPr="001B05A2">
        <w:rPr>
          <w:rFonts w:ascii="Times New Roman" w:hAnsi="Times New Roman"/>
          <w:szCs w:val="22"/>
          <w:lang w:val="en-US"/>
        </w:rPr>
        <w:t>)</w:t>
      </w:r>
    </w:p>
    <w:p w14:paraId="15671E12" w14:textId="77777777" w:rsidR="001B05A2" w:rsidRP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Alt2. For RI</w:t>
      </w:r>
      <w:r w:rsidRPr="001B05A2">
        <w:rPr>
          <w:rFonts w:ascii="Times New Roman" w:hAnsi="Times New Roman"/>
          <w:szCs w:val="22"/>
        </w:rPr>
        <w:sym w:font="Symbol" w:char="F0CE"/>
      </w:r>
      <w:r w:rsidRPr="001B05A2">
        <w:rPr>
          <w:rFonts w:ascii="Times New Roman" w:hAnsi="Times New Roman"/>
          <w:szCs w:val="22"/>
        </w:rPr>
        <w:t>{3,4}, there is only one value of max # NZ coefficients per layer &lt;</w:t>
      </w:r>
      <w:r w:rsidRPr="001B05A2">
        <w:rPr>
          <w:rStyle w:val="Emphasis"/>
          <w:rFonts w:ascii="Times New Roman" w:hAnsi="Times New Roman"/>
        </w:rPr>
        <w:t xml:space="preserve"> K</w:t>
      </w:r>
      <w:r w:rsidRPr="001B05A2">
        <w:rPr>
          <w:rStyle w:val="Emphasis"/>
          <w:rFonts w:ascii="Times New Roman" w:hAnsi="Times New Roman"/>
          <w:vertAlign w:val="subscript"/>
        </w:rPr>
        <w:t>0</w:t>
      </w:r>
      <w:r w:rsidRPr="001B05A2">
        <w:rPr>
          <w:rFonts w:ascii="Times New Roman" w:hAnsi="Times New Roman"/>
          <w:szCs w:val="22"/>
        </w:rPr>
        <w:t xml:space="preserve"> where </w:t>
      </w:r>
      <w:r w:rsidRPr="001B05A2">
        <w:rPr>
          <w:rFonts w:ascii="Times New Roman" w:hAnsi="Times New Roman"/>
          <w:szCs w:val="22"/>
          <w:lang w:val="en-US"/>
        </w:rPr>
        <w:t xml:space="preserve">the </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lang w:val="en-US"/>
        </w:rPr>
        <w:t xml:space="preserve"> value is set for </w:t>
      </w:r>
      <w:r w:rsidRPr="001B05A2">
        <w:rPr>
          <w:rFonts w:ascii="Times New Roman" w:hAnsi="Times New Roman"/>
          <w:szCs w:val="22"/>
        </w:rPr>
        <w:t>RI</w:t>
      </w:r>
      <w:r w:rsidRPr="001B05A2">
        <w:rPr>
          <w:rFonts w:ascii="Times New Roman" w:hAnsi="Times New Roman"/>
          <w:szCs w:val="22"/>
        </w:rPr>
        <w:sym w:font="Symbol" w:char="F0CE"/>
      </w:r>
      <w:r w:rsidRPr="001B05A2">
        <w:rPr>
          <w:rFonts w:ascii="Times New Roman" w:hAnsi="Times New Roman"/>
          <w:szCs w:val="22"/>
        </w:rPr>
        <w:t>{1,2}</w:t>
      </w:r>
    </w:p>
    <w:p w14:paraId="2FF95036" w14:textId="75AB825D" w:rsidR="001B05A2" w:rsidRP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Alt3. Total max # NZ coefficients across all layers ≤ 2</w:t>
      </w:r>
      <w:r w:rsidRPr="001B05A2">
        <w:rPr>
          <w:rFonts w:ascii="Times New Roman" w:hAnsi="Times New Roman"/>
          <w:szCs w:val="22"/>
        </w:rPr>
        <w:sym w:font="Symbol" w:char="F061"/>
      </w:r>
      <w:r w:rsidRPr="001B05A2">
        <w:rPr>
          <w:rStyle w:val="Emphasis"/>
          <w:rFonts w:ascii="Times New Roman" w:hAnsi="Times New Roman"/>
        </w:rPr>
        <w:t>K</w:t>
      </w:r>
      <w:r w:rsidRPr="001B05A2">
        <w:rPr>
          <w:rFonts w:ascii="Times New Roman" w:hAnsi="Times New Roman"/>
          <w:szCs w:val="22"/>
          <w:lang w:val="en-US"/>
        </w:rPr>
        <w:t xml:space="preserve"> (the </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lang w:val="en-US"/>
        </w:rPr>
        <w:t xml:space="preserve"> value set for </w:t>
      </w:r>
      <w:r w:rsidRPr="001B05A2">
        <w:rPr>
          <w:rFonts w:ascii="Times New Roman" w:hAnsi="Times New Roman"/>
          <w:szCs w:val="22"/>
        </w:rPr>
        <w:t>RI</w:t>
      </w:r>
      <w:r w:rsidRPr="001B05A2">
        <w:rPr>
          <w:rFonts w:ascii="Times New Roman" w:hAnsi="Times New Roman"/>
          <w:szCs w:val="22"/>
        </w:rPr>
        <w:sym w:font="Symbol" w:char="F0CE"/>
      </w:r>
      <w:r w:rsidRPr="001B05A2">
        <w:rPr>
          <w:rFonts w:ascii="Times New Roman" w:hAnsi="Times New Roman"/>
          <w:szCs w:val="22"/>
        </w:rPr>
        <w:t>{1,2}</w:t>
      </w:r>
      <w:r w:rsidRPr="001B05A2">
        <w:rPr>
          <w:rFonts w:ascii="Times New Roman" w:hAnsi="Times New Roman"/>
          <w:szCs w:val="22"/>
          <w:lang w:val="en-US"/>
        </w:rPr>
        <w:t xml:space="preserve">) where </w:t>
      </w:r>
      <w:r w:rsidRPr="001B05A2">
        <w:rPr>
          <w:rFonts w:ascii="Times New Roman" w:hAnsi="Times New Roman"/>
          <w:szCs w:val="22"/>
        </w:rPr>
        <w:fldChar w:fldCharType="begin"/>
      </w:r>
      <w:r w:rsidRPr="001B05A2">
        <w:rPr>
          <w:rFonts w:ascii="Times New Roman" w:hAnsi="Times New Roman"/>
          <w:szCs w:val="22"/>
        </w:rPr>
        <w:instrText xml:space="preserve"> QUOTE </w:instrText>
      </w:r>
      <m:oMath>
        <m:r>
          <m:rPr>
            <m:sty m:val="p"/>
          </m:rPr>
          <w:rPr>
            <w:rFonts w:ascii="Cambria Math" w:hAnsi="Cambria Math"/>
            <w:szCs w:val="22"/>
          </w:rPr>
          <m:t>α</m:t>
        </m:r>
      </m:oMath>
      <w:r w:rsidRPr="001B05A2">
        <w:rPr>
          <w:rFonts w:ascii="Times New Roman" w:hAnsi="Times New Roman"/>
          <w:szCs w:val="22"/>
        </w:rPr>
        <w:instrText xml:space="preserve"> </w:instrText>
      </w:r>
      <w:r w:rsidRPr="001B05A2">
        <w:rPr>
          <w:rFonts w:ascii="Times New Roman" w:hAnsi="Times New Roman"/>
          <w:szCs w:val="22"/>
        </w:rPr>
        <w:fldChar w:fldCharType="separate"/>
      </w:r>
      <m:oMath>
        <m:r>
          <m:rPr>
            <m:sty m:val="p"/>
          </m:rPr>
          <w:rPr>
            <w:rFonts w:ascii="Cambria Math" w:hAnsi="Cambria Math"/>
            <w:szCs w:val="22"/>
          </w:rPr>
          <m:t>α</m:t>
        </m:r>
      </m:oMath>
      <w:r w:rsidRPr="001B05A2">
        <w:rPr>
          <w:rFonts w:ascii="Times New Roman" w:hAnsi="Times New Roman"/>
          <w:szCs w:val="22"/>
        </w:rPr>
        <w:fldChar w:fldCharType="end"/>
      </w:r>
      <w:r w:rsidRPr="001B05A2">
        <w:rPr>
          <w:rFonts w:ascii="Times New Roman" w:hAnsi="Times New Roman"/>
          <w:szCs w:val="22"/>
        </w:rPr>
        <w:t xml:space="preserve"> is fixed and RI-specific</w:t>
      </w:r>
    </w:p>
    <w:p w14:paraId="0A86FFE3" w14:textId="77777777" w:rsidR="001B05A2" w:rsidRPr="001B05A2" w:rsidRDefault="001B05A2" w:rsidP="001B05A2">
      <w:pPr>
        <w:pStyle w:val="ListParagraph"/>
        <w:numPr>
          <w:ilvl w:val="1"/>
          <w:numId w:val="42"/>
        </w:numPr>
        <w:autoSpaceDN w:val="0"/>
        <w:spacing w:after="0"/>
        <w:rPr>
          <w:rFonts w:ascii="Times New Roman" w:hAnsi="Times New Roman"/>
          <w:szCs w:val="22"/>
        </w:rPr>
      </w:pPr>
      <w:r w:rsidRPr="001B05A2">
        <w:rPr>
          <w:rFonts w:ascii="Times New Roman" w:hAnsi="Times New Roman"/>
          <w:szCs w:val="22"/>
        </w:rPr>
        <w:t xml:space="preserve">FFS: value of </w:t>
      </w:r>
      <w:r w:rsidRPr="001B05A2">
        <w:rPr>
          <w:rFonts w:ascii="Times New Roman" w:hAnsi="Times New Roman"/>
          <w:szCs w:val="22"/>
        </w:rPr>
        <w:sym w:font="Symbol" w:char="F061"/>
      </w:r>
      <w:r w:rsidRPr="001B05A2">
        <w:rPr>
          <w:rFonts w:ascii="Times New Roman" w:hAnsi="Times New Roman"/>
          <w:szCs w:val="22"/>
        </w:rPr>
        <w:t xml:space="preserve"> per agreement that the overhead for RI=3 or 4 should at least be comparable to RI=2 </w:t>
      </w:r>
    </w:p>
    <w:p w14:paraId="781359E3" w14:textId="77777777" w:rsidR="001B05A2" w:rsidRP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Alt4. For RI</w:t>
      </w:r>
      <w:r w:rsidRPr="001B05A2">
        <w:rPr>
          <w:rFonts w:ascii="Times New Roman" w:hAnsi="Times New Roman"/>
          <w:szCs w:val="22"/>
        </w:rPr>
        <w:sym w:font="Symbol" w:char="F0CE"/>
      </w:r>
      <w:r w:rsidRPr="001B05A2">
        <w:rPr>
          <w:rFonts w:ascii="Times New Roman" w:hAnsi="Times New Roman"/>
          <w:szCs w:val="22"/>
        </w:rPr>
        <w:t>{3,4}, there is only one value of max # NZ coefficients per layer &lt;</w:t>
      </w:r>
      <w:r w:rsidRPr="001B05A2">
        <w:rPr>
          <w:rStyle w:val="Emphasis"/>
          <w:rFonts w:ascii="Times New Roman" w:hAnsi="Times New Roman"/>
        </w:rPr>
        <w:t xml:space="preserve"> </w:t>
      </w:r>
      <w:r w:rsidRPr="001B05A2">
        <w:rPr>
          <w:rFonts w:ascii="Times New Roman" w:hAnsi="Times New Roman"/>
          <w:szCs w:val="22"/>
        </w:rPr>
        <w:sym w:font="Symbol" w:char="F061"/>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rPr>
        <w:t xml:space="preserve"> where </w:t>
      </w:r>
      <w:r w:rsidRPr="001B05A2">
        <w:rPr>
          <w:rFonts w:ascii="Times New Roman" w:hAnsi="Times New Roman"/>
          <w:szCs w:val="22"/>
          <w:lang w:val="en-US"/>
        </w:rPr>
        <w:t xml:space="preserve">the </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lang w:val="en-US"/>
        </w:rPr>
        <w:t xml:space="preserve"> value is set for </w:t>
      </w:r>
      <w:r w:rsidRPr="001B05A2">
        <w:rPr>
          <w:rFonts w:ascii="Times New Roman" w:hAnsi="Times New Roman"/>
          <w:szCs w:val="22"/>
        </w:rPr>
        <w:t>RI</w:t>
      </w:r>
      <w:r w:rsidRPr="001B05A2">
        <w:rPr>
          <w:rFonts w:ascii="Times New Roman" w:hAnsi="Times New Roman"/>
          <w:szCs w:val="22"/>
        </w:rPr>
        <w:sym w:font="Symbol" w:char="F0CE"/>
      </w:r>
      <w:r w:rsidRPr="001B05A2">
        <w:rPr>
          <w:rFonts w:ascii="Times New Roman" w:hAnsi="Times New Roman"/>
          <w:szCs w:val="22"/>
        </w:rPr>
        <w:t xml:space="preserve">{1,2} </w:t>
      </w:r>
      <w:r w:rsidRPr="001B05A2">
        <w:rPr>
          <w:rFonts w:ascii="Times New Roman" w:hAnsi="Times New Roman"/>
          <w:szCs w:val="22"/>
          <w:lang w:val="en-US"/>
        </w:rPr>
        <w:t xml:space="preserve">where </w:t>
      </w:r>
      <w:r w:rsidRPr="001B05A2">
        <w:rPr>
          <w:rFonts w:ascii="Times New Roman" w:hAnsi="Times New Roman"/>
          <w:szCs w:val="22"/>
        </w:rPr>
        <w:sym w:font="Symbol" w:char="F061"/>
      </w:r>
      <w:r w:rsidRPr="001B05A2">
        <w:rPr>
          <w:rFonts w:ascii="Times New Roman" w:hAnsi="Times New Roman"/>
          <w:szCs w:val="22"/>
        </w:rPr>
        <w:t xml:space="preserve"> is fixed and RI-specific</w:t>
      </w:r>
    </w:p>
    <w:p w14:paraId="196C6309" w14:textId="77777777" w:rsidR="001B05A2" w:rsidRPr="001B05A2" w:rsidRDefault="001B05A2" w:rsidP="001B05A2">
      <w:pPr>
        <w:pStyle w:val="ListParagraph"/>
        <w:numPr>
          <w:ilvl w:val="1"/>
          <w:numId w:val="42"/>
        </w:numPr>
        <w:autoSpaceDN w:val="0"/>
        <w:spacing w:after="0"/>
        <w:rPr>
          <w:rFonts w:ascii="Times New Roman" w:hAnsi="Times New Roman"/>
          <w:szCs w:val="22"/>
        </w:rPr>
      </w:pPr>
      <w:r w:rsidRPr="001B05A2">
        <w:rPr>
          <w:rFonts w:ascii="Times New Roman" w:hAnsi="Times New Roman"/>
          <w:szCs w:val="22"/>
        </w:rPr>
        <w:t xml:space="preserve">FFS: value of </w:t>
      </w:r>
      <w:r w:rsidRPr="001B05A2">
        <w:rPr>
          <w:rFonts w:ascii="Times New Roman" w:hAnsi="Times New Roman"/>
          <w:szCs w:val="22"/>
        </w:rPr>
        <w:sym w:font="Symbol" w:char="F061"/>
      </w:r>
      <w:r w:rsidRPr="001B05A2">
        <w:rPr>
          <w:rFonts w:ascii="Times New Roman" w:hAnsi="Times New Roman"/>
          <w:szCs w:val="22"/>
        </w:rPr>
        <w:t xml:space="preserve"> per agreement that the overhead for RI=3 or 4 should at least be comparable to RI=2</w:t>
      </w:r>
    </w:p>
    <w:p w14:paraId="6E2016A0" w14:textId="5BCD8DC9" w:rsid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Note: For RI</w:t>
      </w:r>
      <w:r w:rsidRPr="001B05A2">
        <w:rPr>
          <w:rFonts w:ascii="Times New Roman" w:hAnsi="Times New Roman"/>
          <w:szCs w:val="22"/>
        </w:rPr>
        <w:sym w:font="Symbol" w:char="F0CE"/>
      </w:r>
      <w:r w:rsidRPr="001B05A2">
        <w:rPr>
          <w:rFonts w:ascii="Times New Roman" w:hAnsi="Times New Roman"/>
          <w:szCs w:val="22"/>
        </w:rPr>
        <w:t xml:space="preserve">{1,2}, there is only one </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rPr>
        <w:t xml:space="preserve"> value (=max # NZ coefficients per layer)</w:t>
      </w:r>
    </w:p>
    <w:p w14:paraId="77C53F6B" w14:textId="36C00DB5" w:rsidR="001B05A2" w:rsidRDefault="001B05A2" w:rsidP="001B05A2">
      <w:pPr>
        <w:spacing w:after="0"/>
        <w:rPr>
          <w:szCs w:val="22"/>
        </w:rPr>
      </w:pPr>
    </w:p>
    <w:p w14:paraId="00DAB8BE" w14:textId="104F008B" w:rsidR="001B05A2" w:rsidRDefault="001B05A2" w:rsidP="001B05A2">
      <w:pPr>
        <w:pStyle w:val="Heading2"/>
      </w:pPr>
      <w:r>
        <w:t>Open issues</w:t>
      </w:r>
    </w:p>
    <w:p w14:paraId="41D47EFB" w14:textId="1E70A8B4" w:rsidR="001B05A2" w:rsidRDefault="001B05A2" w:rsidP="001B05A2">
      <w:r>
        <w:t>According to feature lead’s work plan, the</w:t>
      </w:r>
      <w:r w:rsidR="00053304">
        <w:t xml:space="preserve"> remaining open issues </w:t>
      </w:r>
      <w:r w:rsidR="00971603">
        <w:t>are</w:t>
      </w:r>
      <w:r w:rsidR="00053304">
        <w:t xml:space="preserve"> as follows:</w:t>
      </w:r>
    </w:p>
    <w:p w14:paraId="0B7C7E68" w14:textId="471ED7A0" w:rsidR="00053304" w:rsidRDefault="00053304" w:rsidP="00053304">
      <w:r>
        <w:t>1.</w:t>
      </w:r>
      <w:r>
        <w:tab/>
      </w:r>
      <w:r w:rsidR="00275261">
        <w:t>Complete the design of the high rank codebooks, including the parameter setting and the</w:t>
      </w:r>
      <w:r w:rsidR="000B69FF">
        <w:t xml:space="preserve"> subset selection</w:t>
      </w:r>
    </w:p>
    <w:p w14:paraId="1631D193" w14:textId="5A69F494" w:rsidR="00053304" w:rsidRDefault="00053304" w:rsidP="00053304">
      <w:r>
        <w:t>2.</w:t>
      </w:r>
      <w:r>
        <w:tab/>
        <w:t>Decide whether L=6</w:t>
      </w:r>
      <w:r w:rsidR="000B69FF">
        <w:t xml:space="preserve"> beams</w:t>
      </w:r>
      <w:r>
        <w:t xml:space="preserve"> is supported</w:t>
      </w:r>
    </w:p>
    <w:p w14:paraId="23E65B09" w14:textId="0A1A853E" w:rsidR="00053304" w:rsidRDefault="00053304" w:rsidP="00053304">
      <w:r>
        <w:t>3.</w:t>
      </w:r>
      <w:r>
        <w:tab/>
      </w:r>
      <w:r w:rsidR="000B69FF">
        <w:t>Finalize the UCI design for CSI Part 1 and CSI Part 2</w:t>
      </w:r>
    </w:p>
    <w:p w14:paraId="573F3020" w14:textId="6E610D20" w:rsidR="00053304" w:rsidRDefault="00053304" w:rsidP="00053304">
      <w:r>
        <w:t>4.</w:t>
      </w:r>
      <w:r>
        <w:tab/>
      </w:r>
      <w:r w:rsidR="00790601">
        <w:t>Decide whether to reject or confirm the working assumption on oversampling of the FD-basis</w:t>
      </w:r>
    </w:p>
    <w:p w14:paraId="2E262863" w14:textId="77777777" w:rsidR="00053304" w:rsidRDefault="00053304" w:rsidP="00053304">
      <w:r>
        <w:t>5.</w:t>
      </w:r>
      <w:r>
        <w:tab/>
        <w:t>Reducing supported combinations of compression parameters</w:t>
      </w:r>
    </w:p>
    <w:p w14:paraId="2609CFEC" w14:textId="70AD3617" w:rsidR="00053304" w:rsidRDefault="00053304" w:rsidP="00053304">
      <w:r>
        <w:t>6.</w:t>
      </w:r>
      <w:r>
        <w:tab/>
      </w:r>
      <w:r w:rsidR="00F51C5F">
        <w:t xml:space="preserve">Decide on the value of </w:t>
      </w:r>
      <w:r>
        <w:t>N3 for NSB×R &gt; 13</w:t>
      </w:r>
    </w:p>
    <w:p w14:paraId="4000F762" w14:textId="58171C7F" w:rsidR="00F51C5F" w:rsidRPr="001B05A2" w:rsidRDefault="00632F64" w:rsidP="00053304">
      <w:r>
        <w:lastRenderedPageBreak/>
        <w:t xml:space="preserve">We present our view on theses open issues in this contribution. In addition, we present our view on potential CBSR schemes for Type II CSI enhancement in </w:t>
      </w:r>
      <w:r w:rsidR="00921F69">
        <w:fldChar w:fldCharType="begin"/>
      </w:r>
      <w:r w:rsidR="00921F69">
        <w:instrText xml:space="preserve"> REF _Ref4744745 \r \h </w:instrText>
      </w:r>
      <w:r w:rsidR="00921F69">
        <w:fldChar w:fldCharType="separate"/>
      </w:r>
      <w:r w:rsidR="00DE792D">
        <w:t>[1]</w:t>
      </w:r>
      <w:r w:rsidR="00921F69">
        <w:fldChar w:fldCharType="end"/>
      </w:r>
      <w:r w:rsidR="00921F69">
        <w:t xml:space="preserve">. Additional details on UCI design is presented in </w:t>
      </w:r>
      <w:r w:rsidR="00921F69">
        <w:fldChar w:fldCharType="begin"/>
      </w:r>
      <w:r w:rsidR="00921F69">
        <w:instrText xml:space="preserve"> REF _Ref4744746 \r \h </w:instrText>
      </w:r>
      <w:r w:rsidR="00921F69">
        <w:fldChar w:fldCharType="separate"/>
      </w:r>
      <w:r w:rsidR="00DE792D">
        <w:t>[2]</w:t>
      </w:r>
      <w:r w:rsidR="00921F69">
        <w:fldChar w:fldCharType="end"/>
      </w:r>
      <w:r w:rsidR="00921F69">
        <w:t xml:space="preserve">. Evaluation results and discussion regarding issue 6 is given in </w:t>
      </w:r>
      <w:r w:rsidR="00921F69">
        <w:fldChar w:fldCharType="begin"/>
      </w:r>
      <w:r w:rsidR="00921F69">
        <w:instrText xml:space="preserve"> REF _Ref4744748 \r \h </w:instrText>
      </w:r>
      <w:r w:rsidR="00921F69">
        <w:fldChar w:fldCharType="separate"/>
      </w:r>
      <w:r w:rsidR="00DE792D">
        <w:t>[3]</w:t>
      </w:r>
      <w:r w:rsidR="00921F69">
        <w:fldChar w:fldCharType="end"/>
      </w:r>
      <w:r w:rsidR="00921F69">
        <w:t>. Comprehensive evaluation results, pertaining to issue</w:t>
      </w:r>
      <w:r w:rsidR="00E06CB3">
        <w:t xml:space="preserve">s 2 and 5 are presented in </w:t>
      </w:r>
      <w:r w:rsidR="00921F69">
        <w:fldChar w:fldCharType="begin"/>
      </w:r>
      <w:r w:rsidR="00921F69">
        <w:instrText xml:space="preserve"> REF _Ref4744749 \r \h </w:instrText>
      </w:r>
      <w:r w:rsidR="00921F69">
        <w:fldChar w:fldCharType="separate"/>
      </w:r>
      <w:r w:rsidR="00DE792D">
        <w:t>[4]</w:t>
      </w:r>
      <w:r w:rsidR="00921F69">
        <w:fldChar w:fldCharType="end"/>
      </w:r>
      <w:r w:rsidR="00E06CB3">
        <w:t xml:space="preserve">. Finally, we present detailed mathematical analysis and evaluation results pertaining to issue </w:t>
      </w:r>
      <w:r w:rsidR="00546180">
        <w:t>4 in</w:t>
      </w:r>
      <w:r w:rsidR="00E06CB3">
        <w:t xml:space="preserve"> </w:t>
      </w:r>
      <w:r w:rsidR="00921F69">
        <w:fldChar w:fldCharType="begin"/>
      </w:r>
      <w:r w:rsidR="00921F69">
        <w:instrText xml:space="preserve"> REF _Ref4744750 \r \h </w:instrText>
      </w:r>
      <w:r w:rsidR="00921F69">
        <w:fldChar w:fldCharType="separate"/>
      </w:r>
      <w:r w:rsidR="00DE792D">
        <w:t>[5]</w:t>
      </w:r>
      <w:r w:rsidR="00921F69">
        <w:fldChar w:fldCharType="end"/>
      </w:r>
      <w:r w:rsidR="00546180">
        <w:t>.</w:t>
      </w:r>
    </w:p>
    <w:p w14:paraId="436C9B9C" w14:textId="760D1EA2" w:rsidR="00E574EE" w:rsidRDefault="00705CCB" w:rsidP="00705CCB">
      <w:pPr>
        <w:pStyle w:val="Heading1"/>
      </w:pPr>
      <w:r>
        <w:t>High rank extension</w:t>
      </w:r>
    </w:p>
    <w:p w14:paraId="705D3658" w14:textId="1E23F074" w:rsidR="00696F1D" w:rsidRDefault="00696F1D" w:rsidP="00696F1D">
      <w:r>
        <w:t>When extending the Type II codebook to RI=3,4 the overhead should be similar as for RI=2. This essentially means that</w:t>
      </w:r>
      <w:r w:rsidR="00507DB5">
        <w:t xml:space="preserve"> the total number of </w:t>
      </w:r>
      <w:r w:rsidR="008D6B51">
        <w:t xml:space="preserve">LC </w:t>
      </w:r>
      <w:r w:rsidR="00507DB5">
        <w:t>coefficients</w:t>
      </w:r>
      <w:r w:rsidR="008D6B51">
        <w:t xml:space="preserve"> summed across layer should be no larger than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rsidR="008D6B51">
        <w:t xml:space="preserve">, where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8D6B51">
        <w:t xml:space="preserve"> is the configured number of non-zero coefficients for</w:t>
      </w:r>
      <w:r w:rsidR="004B1DDC">
        <w:t xml:space="preserve"> RI=1,2. One option for how to accomplish this is to </w:t>
      </w:r>
      <w:r w:rsidR="007C387F">
        <w:t xml:space="preserve">use a different value of </w:t>
      </w:r>
      <m:oMath>
        <m:r>
          <w:rPr>
            <w:rFonts w:ascii="Cambria Math" w:hAnsi="Cambria Math"/>
          </w:rPr>
          <m:t>β</m:t>
        </m:r>
      </m:oMath>
      <w:r w:rsidR="007C387F">
        <w:t xml:space="preserve"> for RI=3,4, for instance </w:t>
      </w:r>
      <m:oMath>
        <m:f>
          <m:fPr>
            <m:ctrlPr>
              <w:rPr>
                <w:rFonts w:ascii="Cambria Math" w:hAnsi="Cambria Math"/>
                <w:i/>
              </w:rPr>
            </m:ctrlPr>
          </m:fPr>
          <m:num>
            <m:r>
              <w:rPr>
                <w:rFonts w:ascii="Cambria Math" w:hAnsi="Cambria Math"/>
              </w:rPr>
              <m:t>β</m:t>
            </m:r>
          </m:num>
          <m:den>
            <m:r>
              <w:rPr>
                <w:rFonts w:ascii="Cambria Math" w:hAnsi="Cambria Math"/>
              </w:rPr>
              <m:t>2</m:t>
            </m:r>
          </m:den>
        </m:f>
      </m:oMath>
      <w:r w:rsidR="007C387F">
        <w:t xml:space="preserve">. However, this implies that the SD/FD basis </w:t>
      </w:r>
      <w:r w:rsidR="00EC282C">
        <w:t xml:space="preserve">size </w:t>
      </w:r>
      <w:r w:rsidR="007C387F">
        <w:t xml:space="preserve">is the same </w:t>
      </w:r>
      <w:r w:rsidR="00EC282C">
        <w:t xml:space="preserve">as for RI=1,2, but the number of coefficients could be as low as </w:t>
      </w:r>
      <m:oMath>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×2LM</m:t>
        </m:r>
      </m:oMath>
      <w:r w:rsidR="00EC282C">
        <w:t>, which would imply that the coefficient matrix is very sparse and hence a lot of overhead would be spent on the size-2LM bitmaps. This is not desirable.</w:t>
      </w:r>
    </w:p>
    <w:p w14:paraId="5EB0FED3" w14:textId="0EDBDA91" w:rsidR="00EC282C" w:rsidRDefault="002A348E" w:rsidP="00EC282C">
      <w:pPr>
        <w:pStyle w:val="Observation"/>
      </w:pPr>
      <w:bookmarkStart w:id="1" w:name="_Toc4777947"/>
      <w:r>
        <w:t xml:space="preserve">To reduce overhead for RI=3,4 by only adapting </w:t>
      </w:r>
      <m:oMath>
        <m:r>
          <m:rPr>
            <m:sty m:val="bi"/>
          </m:rPr>
          <w:rPr>
            <w:rFonts w:ascii="Cambria Math" w:hAnsi="Cambria Math"/>
          </w:rPr>
          <m:t>β</m:t>
        </m:r>
      </m:oMath>
      <w:r>
        <w:t xml:space="preserve"> and not reducing the FD/SD basis will cause unnecessarily large overhead due to bitmap reporting.</w:t>
      </w:r>
      <w:bookmarkEnd w:id="1"/>
    </w:p>
    <w:p w14:paraId="5D53F547" w14:textId="12BE165E" w:rsidR="004B474B" w:rsidRDefault="002A348E" w:rsidP="00DC7542">
      <w:pPr>
        <w:rPr>
          <w:u w:val="single"/>
        </w:rPr>
      </w:pPr>
      <w:r>
        <w:t>Hence, it is necessary to adapt the basis size as well, i.e. the SD/FD basis parameter setting.</w:t>
      </w:r>
      <w:r w:rsidR="00DC7542">
        <w:t xml:space="preserve"> </w:t>
      </w:r>
      <w:r w:rsidR="004B474B">
        <w:t xml:space="preserve">The parameter setting for the SD and FD bases, i.e. the </w:t>
      </w:r>
      <w:r w:rsidR="004B474B">
        <w:rPr>
          <w:i/>
        </w:rPr>
        <w:t>number</w:t>
      </w:r>
      <w:r w:rsidR="004B474B">
        <w:t xml:space="preserve"> of selected SD/FD basis vectors</w:t>
      </w:r>
      <m:oMath>
        <m:r>
          <w:rPr>
            <w:rFonts w:ascii="Cambria Math" w:hAnsi="Cambria Math"/>
          </w:rPr>
          <m:t xml:space="preserve"> 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oMath>
      <w:r w:rsidR="004B474B">
        <w:t xml:space="preserve"> and </w:t>
      </w:r>
      <m:oMath>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rsidR="004B474B">
        <w:t xml:space="preserve"> may in the general case be both rank-specific and layer-specific as indicated by the sub-indices </w:t>
      </w:r>
      <m:oMath>
        <m:r>
          <w:rPr>
            <w:rFonts w:ascii="Cambria Math" w:hAnsi="Cambria Math"/>
          </w:rPr>
          <m:t>(R,l)</m:t>
        </m:r>
      </m:oMath>
      <w:r w:rsidR="004B474B">
        <w:t xml:space="preserve"> and as illustrated in Table 1. However, a practical selection would be to have at least some rank-common and/or layer-common selection of </w:t>
      </w:r>
      <m:oMath>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oMath>
      <w:r w:rsidR="004B474B">
        <w:t xml:space="preserve"> and </w:t>
      </w:r>
      <m:oMath>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rsidR="004B474B">
        <w:t>. As per previous agreements, rank-common and layer-common parameter setting is used for RI=1,2.</w:t>
      </w:r>
    </w:p>
    <w:p w14:paraId="78F57E67" w14:textId="2B4CD4BB" w:rsidR="004B474B" w:rsidRDefault="004B474B" w:rsidP="004B474B">
      <w:pPr>
        <w:pStyle w:val="Caption"/>
        <w:keepNext/>
        <w:rPr>
          <w:rFonts w:ascii="Arial" w:hAnsi="Arial"/>
        </w:rPr>
      </w:pPr>
      <w:r>
        <w:t xml:space="preserve">Table </w:t>
      </w:r>
      <w:r>
        <w:rPr>
          <w:noProof/>
        </w:rPr>
        <w:fldChar w:fldCharType="begin"/>
      </w:r>
      <w:r>
        <w:rPr>
          <w:noProof/>
        </w:rPr>
        <w:instrText xml:space="preserve"> SEQ Table \* ARABIC </w:instrText>
      </w:r>
      <w:r>
        <w:rPr>
          <w:noProof/>
        </w:rPr>
        <w:fldChar w:fldCharType="separate"/>
      </w:r>
      <w:r w:rsidR="00DE792D">
        <w:rPr>
          <w:noProof/>
        </w:rPr>
        <w:t>1</w:t>
      </w:r>
      <w:r>
        <w:rPr>
          <w:noProof/>
        </w:rPr>
        <w:fldChar w:fldCharType="end"/>
      </w:r>
      <w:r>
        <w:t>: Illustration of possible rank-specific and layer-specific parameter settings</w:t>
      </w:r>
    </w:p>
    <w:tbl>
      <w:tblPr>
        <w:tblStyle w:val="TableGrid"/>
        <w:tblW w:w="0" w:type="auto"/>
        <w:jc w:val="center"/>
        <w:tblLook w:val="04A0" w:firstRow="1" w:lastRow="0" w:firstColumn="1" w:lastColumn="0" w:noHBand="0" w:noVBand="1"/>
      </w:tblPr>
      <w:tblGrid>
        <w:gridCol w:w="715"/>
        <w:gridCol w:w="1080"/>
        <w:gridCol w:w="1080"/>
        <w:gridCol w:w="1080"/>
        <w:gridCol w:w="1080"/>
      </w:tblGrid>
      <w:tr w:rsidR="00B7605C" w14:paraId="6E1D1A81" w14:textId="6C002D42" w:rsidTr="00EA7706">
        <w:trPr>
          <w:jc w:val="center"/>
        </w:trPr>
        <w:tc>
          <w:tcPr>
            <w:tcW w:w="715" w:type="dxa"/>
            <w:tcBorders>
              <w:top w:val="single" w:sz="4" w:space="0" w:color="000000"/>
              <w:left w:val="single" w:sz="4" w:space="0" w:color="000000"/>
              <w:bottom w:val="single" w:sz="4" w:space="0" w:color="000000"/>
              <w:right w:val="single" w:sz="4" w:space="0" w:color="000000"/>
            </w:tcBorders>
            <w:hideMark/>
          </w:tcPr>
          <w:p w14:paraId="7CFF3EE8" w14:textId="77777777" w:rsidR="00B7605C" w:rsidRDefault="00B7605C">
            <w:pPr>
              <w:jc w:val="center"/>
              <w:rPr>
                <w:b/>
                <w:szCs w:val="22"/>
              </w:rPr>
            </w:pPr>
            <w:r>
              <w:rPr>
                <w:b/>
                <w:szCs w:val="22"/>
              </w:rPr>
              <w:t>Rank (RI)</w:t>
            </w:r>
          </w:p>
        </w:tc>
        <w:tc>
          <w:tcPr>
            <w:tcW w:w="1080" w:type="dxa"/>
            <w:tcBorders>
              <w:top w:val="single" w:sz="4" w:space="0" w:color="000000"/>
              <w:left w:val="single" w:sz="4" w:space="0" w:color="000000"/>
              <w:bottom w:val="single" w:sz="4" w:space="0" w:color="000000"/>
              <w:right w:val="single" w:sz="4" w:space="0" w:color="000000"/>
            </w:tcBorders>
            <w:hideMark/>
          </w:tcPr>
          <w:p w14:paraId="671D5678" w14:textId="77777777" w:rsidR="00B7605C" w:rsidRDefault="00B7605C">
            <w:pPr>
              <w:jc w:val="center"/>
              <w:rPr>
                <w:b/>
                <w:szCs w:val="22"/>
                <w:lang w:val="en-US"/>
              </w:rPr>
            </w:pPr>
            <w:r>
              <w:rPr>
                <w:b/>
                <w:szCs w:val="22"/>
              </w:rPr>
              <w:t>Layer</w:t>
            </w:r>
          </w:p>
        </w:tc>
        <w:tc>
          <w:tcPr>
            <w:tcW w:w="1080" w:type="dxa"/>
            <w:tcBorders>
              <w:top w:val="single" w:sz="4" w:space="0" w:color="000000"/>
              <w:left w:val="single" w:sz="4" w:space="0" w:color="000000"/>
              <w:bottom w:val="single" w:sz="4" w:space="0" w:color="000000"/>
              <w:right w:val="single" w:sz="4" w:space="0" w:color="000000"/>
            </w:tcBorders>
            <w:hideMark/>
          </w:tcPr>
          <w:p w14:paraId="6B8B3419" w14:textId="77777777" w:rsidR="00B7605C" w:rsidRDefault="00B85FD6">
            <w:pPr>
              <w:jc w:val="center"/>
              <w:rPr>
                <w:b/>
                <w:i/>
                <w:szCs w:val="22"/>
              </w:rPr>
            </w:pPr>
            <m:oMath>
              <m:sSub>
                <m:sSubPr>
                  <m:ctrlPr>
                    <w:rPr>
                      <w:rFonts w:ascii="Cambria Math" w:hAnsi="Cambria Math"/>
                      <w:b/>
                      <w:i/>
                      <w:szCs w:val="22"/>
                      <w:lang w:val="en-US" w:eastAsia="en-US"/>
                    </w:rPr>
                  </m:ctrlPr>
                </m:sSubPr>
                <m:e>
                  <m:r>
                    <m:rPr>
                      <m:sty m:val="bi"/>
                    </m:rPr>
                    <w:rPr>
                      <w:rFonts w:ascii="Cambria Math" w:hAnsi="Cambria Math"/>
                      <w:szCs w:val="22"/>
                    </w:rPr>
                    <m:t>L</m:t>
                  </m:r>
                </m:e>
                <m:sub>
                  <m:r>
                    <m:rPr>
                      <m:sty m:val="bi"/>
                    </m:rPr>
                    <w:rPr>
                      <w:rFonts w:ascii="Cambria Math" w:hAnsi="Cambria Math"/>
                      <w:szCs w:val="22"/>
                    </w:rPr>
                    <m:t>R,l</m:t>
                  </m:r>
                </m:sub>
              </m:sSub>
            </m:oMath>
            <w:r w:rsidR="00B7605C">
              <w:rPr>
                <w:b/>
                <w:i/>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hideMark/>
          </w:tcPr>
          <w:p w14:paraId="565AA29C" w14:textId="77777777" w:rsidR="00B7605C" w:rsidRDefault="00B85FD6">
            <w:pPr>
              <w:jc w:val="center"/>
              <w:rPr>
                <w:b/>
                <w:i/>
                <w:szCs w:val="22"/>
              </w:rPr>
            </w:pPr>
            <m:oMathPara>
              <m:oMath>
                <m:sSub>
                  <m:sSubPr>
                    <m:ctrlPr>
                      <w:rPr>
                        <w:rFonts w:ascii="Cambria Math" w:hAnsi="Cambria Math"/>
                        <w:b/>
                        <w:i/>
                        <w:szCs w:val="22"/>
                        <w:lang w:val="en-US" w:eastAsia="en-US"/>
                      </w:rPr>
                    </m:ctrlPr>
                  </m:sSubPr>
                  <m:e>
                    <m:r>
                      <m:rPr>
                        <m:sty m:val="bi"/>
                      </m:rPr>
                      <w:rPr>
                        <w:rFonts w:ascii="Cambria Math" w:hAnsi="Cambria Math"/>
                        <w:szCs w:val="22"/>
                      </w:rPr>
                      <m:t>M</m:t>
                    </m:r>
                  </m:e>
                  <m:sub>
                    <m:r>
                      <m:rPr>
                        <m:sty m:val="bi"/>
                      </m:rPr>
                      <w:rPr>
                        <w:rFonts w:ascii="Cambria Math" w:hAnsi="Cambria Math"/>
                        <w:szCs w:val="22"/>
                      </w:rPr>
                      <m:t>R,l</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5DD53C94" w14:textId="4CD9F2BB" w:rsidR="00B7605C" w:rsidRDefault="00B85FD6">
            <w:pPr>
              <w:jc w:val="center"/>
              <w:rPr>
                <w:rFonts w:ascii="Arial" w:hAnsi="Arial"/>
                <w:b/>
                <w:szCs w:val="22"/>
                <w:lang w:val="en-US" w:eastAsia="en-US"/>
              </w:rPr>
            </w:pPr>
            <m:oMathPara>
              <m:oMath>
                <m:sSub>
                  <m:sSubPr>
                    <m:ctrlPr>
                      <w:rPr>
                        <w:rFonts w:ascii="Cambria Math" w:hAnsi="Cambria Math"/>
                        <w:b/>
                        <w:i/>
                        <w:szCs w:val="22"/>
                        <w:lang w:val="en-US" w:eastAsia="en-US"/>
                      </w:rPr>
                    </m:ctrlPr>
                  </m:sSubPr>
                  <m:e>
                    <m:r>
                      <m:rPr>
                        <m:sty m:val="bi"/>
                      </m:rPr>
                      <w:rPr>
                        <w:rFonts w:ascii="Cambria Math" w:hAnsi="Cambria Math"/>
                        <w:szCs w:val="22"/>
                        <w:lang w:val="en-US" w:eastAsia="en-US"/>
                      </w:rPr>
                      <m:t>β</m:t>
                    </m:r>
                  </m:e>
                  <m:sub>
                    <m:r>
                      <m:rPr>
                        <m:sty m:val="bi"/>
                      </m:rPr>
                      <w:rPr>
                        <w:rFonts w:ascii="Cambria Math" w:hAnsi="Cambria Math"/>
                        <w:szCs w:val="22"/>
                        <w:lang w:val="en-US" w:eastAsia="en-US"/>
                      </w:rPr>
                      <m:t>R,l</m:t>
                    </m:r>
                  </m:sub>
                </m:sSub>
              </m:oMath>
            </m:oMathPara>
          </w:p>
        </w:tc>
      </w:tr>
      <w:tr w:rsidR="00B7605C" w14:paraId="72361917" w14:textId="2BF145C5" w:rsidTr="0099086A">
        <w:trPr>
          <w:jc w:val="center"/>
        </w:trPr>
        <w:tc>
          <w:tcPr>
            <w:tcW w:w="715" w:type="dxa"/>
            <w:tcBorders>
              <w:top w:val="single" w:sz="4" w:space="0" w:color="000000"/>
              <w:left w:val="single" w:sz="4" w:space="0" w:color="000000"/>
              <w:bottom w:val="single" w:sz="4" w:space="0" w:color="000000"/>
              <w:right w:val="single" w:sz="4" w:space="0" w:color="000000"/>
            </w:tcBorders>
            <w:hideMark/>
          </w:tcPr>
          <w:p w14:paraId="6D8EACEA" w14:textId="77777777" w:rsidR="00B7605C" w:rsidRDefault="00B7605C">
            <w:pPr>
              <w:jc w:val="center"/>
              <w:rPr>
                <w:szCs w:val="22"/>
              </w:rPr>
            </w:pPr>
            <w:r>
              <w:rPr>
                <w:szCs w:val="22"/>
              </w:rPr>
              <w:t>1</w:t>
            </w:r>
          </w:p>
        </w:tc>
        <w:tc>
          <w:tcPr>
            <w:tcW w:w="1080" w:type="dxa"/>
            <w:tcBorders>
              <w:top w:val="single" w:sz="4" w:space="0" w:color="000000"/>
              <w:left w:val="single" w:sz="4" w:space="0" w:color="000000"/>
              <w:bottom w:val="single" w:sz="4" w:space="0" w:color="000000"/>
              <w:right w:val="single" w:sz="4" w:space="0" w:color="000000"/>
            </w:tcBorders>
            <w:hideMark/>
          </w:tcPr>
          <w:p w14:paraId="158C7623" w14:textId="77777777" w:rsidR="00B7605C" w:rsidRDefault="00B7605C">
            <w:pPr>
              <w:jc w:val="center"/>
              <w:rPr>
                <w:szCs w:val="22"/>
              </w:rPr>
            </w:pPr>
            <w:r>
              <w:rPr>
                <w:szCs w:val="22"/>
              </w:rPr>
              <w:t>0</w:t>
            </w:r>
          </w:p>
        </w:tc>
        <w:tc>
          <w:tcPr>
            <w:tcW w:w="1080" w:type="dxa"/>
            <w:vMerge w:val="restart"/>
            <w:tcBorders>
              <w:top w:val="single" w:sz="4" w:space="0" w:color="000000"/>
              <w:left w:val="single" w:sz="4" w:space="0" w:color="000000"/>
              <w:bottom w:val="single" w:sz="4" w:space="0" w:color="000000"/>
              <w:right w:val="single" w:sz="4" w:space="0" w:color="000000"/>
            </w:tcBorders>
            <w:hideMark/>
          </w:tcPr>
          <w:p w14:paraId="489CCA32" w14:textId="77777777" w:rsidR="00B7605C" w:rsidRDefault="00B85FD6">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x</m:t>
                    </m:r>
                  </m:e>
                  <m:sub>
                    <m:r>
                      <w:rPr>
                        <w:rFonts w:ascii="Cambria Math" w:hAnsi="Cambria Math"/>
                        <w:szCs w:val="22"/>
                      </w:rPr>
                      <m:t>0</m:t>
                    </m:r>
                  </m:sub>
                </m:sSub>
              </m:oMath>
            </m:oMathPara>
          </w:p>
        </w:tc>
        <w:tc>
          <w:tcPr>
            <w:tcW w:w="1080" w:type="dxa"/>
            <w:vMerge w:val="restart"/>
            <w:tcBorders>
              <w:top w:val="single" w:sz="4" w:space="0" w:color="000000"/>
              <w:left w:val="single" w:sz="4" w:space="0" w:color="000000"/>
              <w:bottom w:val="single" w:sz="4" w:space="0" w:color="000000"/>
              <w:right w:val="single" w:sz="4" w:space="0" w:color="000000"/>
            </w:tcBorders>
            <w:hideMark/>
          </w:tcPr>
          <w:p w14:paraId="4205C3D2" w14:textId="77777777" w:rsidR="00B7605C" w:rsidRDefault="00B85FD6">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y</m:t>
                    </m:r>
                  </m:e>
                  <m:sub>
                    <m:r>
                      <w:rPr>
                        <w:rFonts w:ascii="Cambria Math" w:hAnsi="Cambria Math"/>
                        <w:szCs w:val="22"/>
                      </w:rPr>
                      <m:t>0</m:t>
                    </m:r>
                  </m:sub>
                </m:sSub>
              </m:oMath>
            </m:oMathPara>
          </w:p>
        </w:tc>
        <w:tc>
          <w:tcPr>
            <w:tcW w:w="1080" w:type="dxa"/>
            <w:vMerge w:val="restart"/>
            <w:tcBorders>
              <w:top w:val="single" w:sz="4" w:space="0" w:color="000000"/>
              <w:left w:val="single" w:sz="4" w:space="0" w:color="000000"/>
              <w:right w:val="single" w:sz="4" w:space="0" w:color="000000"/>
            </w:tcBorders>
          </w:tcPr>
          <w:p w14:paraId="620E5880" w14:textId="384B0E96" w:rsidR="00B7605C" w:rsidRDefault="00B85FD6">
            <w:pPr>
              <w:jc w:val="center"/>
              <w:rPr>
                <w:rFonts w:ascii="Arial" w:hAnsi="Arial"/>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z</m:t>
                    </m:r>
                  </m:e>
                  <m:sub>
                    <m:r>
                      <w:rPr>
                        <w:rFonts w:ascii="Cambria Math" w:hAnsi="Cambria Math"/>
                        <w:sz w:val="22"/>
                        <w:szCs w:val="22"/>
                        <w:lang w:eastAsia="en-US"/>
                      </w:rPr>
                      <m:t>0</m:t>
                    </m:r>
                  </m:sub>
                </m:sSub>
              </m:oMath>
            </m:oMathPara>
          </w:p>
        </w:tc>
      </w:tr>
      <w:tr w:rsidR="00B7605C" w14:paraId="2FA65694" w14:textId="71E6BCF2" w:rsidTr="0099086A">
        <w:trPr>
          <w:jc w:val="center"/>
        </w:trPr>
        <w:tc>
          <w:tcPr>
            <w:tcW w:w="715" w:type="dxa"/>
            <w:vMerge w:val="restart"/>
            <w:tcBorders>
              <w:top w:val="single" w:sz="4" w:space="0" w:color="000000"/>
              <w:left w:val="single" w:sz="4" w:space="0" w:color="000000"/>
              <w:bottom w:val="single" w:sz="4" w:space="0" w:color="000000"/>
              <w:right w:val="single" w:sz="4" w:space="0" w:color="000000"/>
            </w:tcBorders>
            <w:hideMark/>
          </w:tcPr>
          <w:p w14:paraId="206D8457" w14:textId="77777777" w:rsidR="00B7605C" w:rsidRDefault="00B7605C">
            <w:pPr>
              <w:jc w:val="center"/>
              <w:rPr>
                <w:szCs w:val="22"/>
              </w:rPr>
            </w:pPr>
            <w:r>
              <w:rPr>
                <w:szCs w:val="22"/>
              </w:rPr>
              <w:t>2</w:t>
            </w:r>
          </w:p>
        </w:tc>
        <w:tc>
          <w:tcPr>
            <w:tcW w:w="1080" w:type="dxa"/>
            <w:tcBorders>
              <w:top w:val="single" w:sz="4" w:space="0" w:color="000000"/>
              <w:left w:val="single" w:sz="4" w:space="0" w:color="000000"/>
              <w:bottom w:val="single" w:sz="4" w:space="0" w:color="000000"/>
              <w:right w:val="single" w:sz="4" w:space="0" w:color="000000"/>
            </w:tcBorders>
            <w:hideMark/>
          </w:tcPr>
          <w:p w14:paraId="247AB02F" w14:textId="77777777" w:rsidR="00B7605C" w:rsidRDefault="00B7605C">
            <w:pPr>
              <w:jc w:val="center"/>
              <w:rPr>
                <w:szCs w:val="22"/>
              </w:rPr>
            </w:pPr>
            <w:r>
              <w:rPr>
                <w:szCs w:val="22"/>
              </w:rPr>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C5C5DB" w14:textId="77777777" w:rsidR="00B7605C" w:rsidRDefault="00B7605C">
            <w:pPr>
              <w:rPr>
                <w:rFonts w:ascii="Arial" w:hAnsi="Arial"/>
                <w:szCs w:val="22"/>
                <w:lang w:val="en-US"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4420AC" w14:textId="77777777" w:rsidR="00B7605C" w:rsidRDefault="00B7605C">
            <w:pPr>
              <w:rPr>
                <w:rFonts w:ascii="Arial" w:hAnsi="Arial"/>
                <w:szCs w:val="22"/>
                <w:lang w:val="en-US" w:eastAsia="en-US"/>
              </w:rPr>
            </w:pPr>
          </w:p>
        </w:tc>
        <w:tc>
          <w:tcPr>
            <w:tcW w:w="0" w:type="auto"/>
            <w:vMerge/>
            <w:tcBorders>
              <w:left w:val="single" w:sz="4" w:space="0" w:color="000000"/>
              <w:right w:val="single" w:sz="4" w:space="0" w:color="000000"/>
            </w:tcBorders>
          </w:tcPr>
          <w:p w14:paraId="3BEB8CF8" w14:textId="77777777" w:rsidR="00B7605C" w:rsidRDefault="00B7605C">
            <w:pPr>
              <w:rPr>
                <w:rFonts w:ascii="Arial" w:hAnsi="Arial"/>
                <w:szCs w:val="22"/>
                <w:lang w:val="en-US" w:eastAsia="en-US"/>
              </w:rPr>
            </w:pPr>
          </w:p>
        </w:tc>
      </w:tr>
      <w:tr w:rsidR="00B7605C" w14:paraId="5B90150E" w14:textId="1ED9BD90" w:rsidTr="009908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B543B6B" w14:textId="77777777" w:rsidR="00B7605C" w:rsidRDefault="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09782E93" w14:textId="77777777" w:rsidR="00B7605C" w:rsidRDefault="00B7605C">
            <w:pPr>
              <w:jc w:val="center"/>
              <w:rPr>
                <w:szCs w:val="22"/>
              </w:rPr>
            </w:pPr>
            <w:r>
              <w:rPr>
                <w:szCs w:val="22"/>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9F6171" w14:textId="77777777" w:rsidR="00B7605C" w:rsidRDefault="00B7605C">
            <w:pPr>
              <w:rPr>
                <w:rFonts w:ascii="Arial" w:hAnsi="Arial"/>
                <w:szCs w:val="22"/>
                <w:lang w:val="en-US"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6A140E" w14:textId="77777777" w:rsidR="00B7605C" w:rsidRDefault="00B7605C">
            <w:pPr>
              <w:rPr>
                <w:rFonts w:ascii="Arial" w:hAnsi="Arial"/>
                <w:szCs w:val="22"/>
                <w:lang w:val="en-US" w:eastAsia="en-US"/>
              </w:rPr>
            </w:pPr>
          </w:p>
        </w:tc>
        <w:tc>
          <w:tcPr>
            <w:tcW w:w="0" w:type="auto"/>
            <w:vMerge/>
            <w:tcBorders>
              <w:left w:val="single" w:sz="4" w:space="0" w:color="000000"/>
              <w:bottom w:val="single" w:sz="4" w:space="0" w:color="000000"/>
              <w:right w:val="single" w:sz="4" w:space="0" w:color="000000"/>
            </w:tcBorders>
          </w:tcPr>
          <w:p w14:paraId="224A03E6" w14:textId="77777777" w:rsidR="00B7605C" w:rsidRDefault="00B7605C">
            <w:pPr>
              <w:rPr>
                <w:rFonts w:ascii="Arial" w:hAnsi="Arial"/>
                <w:szCs w:val="22"/>
                <w:lang w:val="en-US" w:eastAsia="en-US"/>
              </w:rPr>
            </w:pPr>
          </w:p>
        </w:tc>
      </w:tr>
      <w:tr w:rsidR="00B7605C" w14:paraId="37BCB8B4" w14:textId="7D3EA33F" w:rsidTr="00EA7706">
        <w:trPr>
          <w:jc w:val="center"/>
        </w:trPr>
        <w:tc>
          <w:tcPr>
            <w:tcW w:w="715" w:type="dxa"/>
            <w:vMerge w:val="restart"/>
            <w:tcBorders>
              <w:top w:val="single" w:sz="4" w:space="0" w:color="000000"/>
              <w:left w:val="single" w:sz="4" w:space="0" w:color="000000"/>
              <w:bottom w:val="single" w:sz="4" w:space="0" w:color="000000"/>
              <w:right w:val="single" w:sz="4" w:space="0" w:color="000000"/>
            </w:tcBorders>
            <w:hideMark/>
          </w:tcPr>
          <w:p w14:paraId="4184AE3A" w14:textId="77777777" w:rsidR="00B7605C" w:rsidRDefault="00B7605C" w:rsidP="00B7605C">
            <w:pPr>
              <w:jc w:val="center"/>
              <w:rPr>
                <w:szCs w:val="22"/>
              </w:rPr>
            </w:pPr>
            <w:r>
              <w:rPr>
                <w:szCs w:val="22"/>
              </w:rPr>
              <w:t>3</w:t>
            </w:r>
          </w:p>
        </w:tc>
        <w:tc>
          <w:tcPr>
            <w:tcW w:w="1080" w:type="dxa"/>
            <w:tcBorders>
              <w:top w:val="single" w:sz="4" w:space="0" w:color="000000"/>
              <w:left w:val="single" w:sz="4" w:space="0" w:color="000000"/>
              <w:bottom w:val="single" w:sz="4" w:space="0" w:color="000000"/>
              <w:right w:val="single" w:sz="4" w:space="0" w:color="000000"/>
            </w:tcBorders>
            <w:hideMark/>
          </w:tcPr>
          <w:p w14:paraId="1A1CAF61" w14:textId="77777777" w:rsidR="00B7605C" w:rsidRDefault="00B7605C" w:rsidP="00B7605C">
            <w:pPr>
              <w:jc w:val="center"/>
              <w:rPr>
                <w:szCs w:val="22"/>
              </w:rPr>
            </w:pPr>
            <w:r>
              <w:rPr>
                <w:szCs w:val="22"/>
              </w:rPr>
              <w:t>0</w:t>
            </w:r>
          </w:p>
        </w:tc>
        <w:tc>
          <w:tcPr>
            <w:tcW w:w="1080" w:type="dxa"/>
            <w:tcBorders>
              <w:top w:val="single" w:sz="4" w:space="0" w:color="000000"/>
              <w:left w:val="single" w:sz="4" w:space="0" w:color="000000"/>
              <w:bottom w:val="single" w:sz="4" w:space="0" w:color="000000"/>
              <w:right w:val="single" w:sz="4" w:space="0" w:color="000000"/>
            </w:tcBorders>
            <w:hideMark/>
          </w:tcPr>
          <w:p w14:paraId="5980DA94"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3,0</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3F4E3E67"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3,0</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6709B0B4" w14:textId="7F2F9EFB" w:rsidR="00B7605C" w:rsidRDefault="00B85FD6" w:rsidP="00B7605C">
            <w:pPr>
              <w:jc w:val="center"/>
              <w:rPr>
                <w:rFonts w:ascii="Arial" w:hAnsi="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3,0</m:t>
                    </m:r>
                  </m:sub>
                </m:sSub>
              </m:oMath>
            </m:oMathPara>
          </w:p>
        </w:tc>
      </w:tr>
      <w:tr w:rsidR="00B7605C" w14:paraId="1FFBA26B" w14:textId="5B79574C" w:rsidTr="00EA770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06AF93" w14:textId="77777777" w:rsidR="00B7605C" w:rsidRDefault="00B7605C" w:rsidP="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418A809B" w14:textId="77777777" w:rsidR="00B7605C" w:rsidRDefault="00B7605C" w:rsidP="00B7605C">
            <w:pPr>
              <w:jc w:val="center"/>
              <w:rPr>
                <w:szCs w:val="22"/>
              </w:rPr>
            </w:pPr>
            <w:r>
              <w:rPr>
                <w:szCs w:val="22"/>
              </w:rPr>
              <w:t>1</w:t>
            </w:r>
          </w:p>
        </w:tc>
        <w:tc>
          <w:tcPr>
            <w:tcW w:w="1080" w:type="dxa"/>
            <w:tcBorders>
              <w:top w:val="single" w:sz="4" w:space="0" w:color="000000"/>
              <w:left w:val="single" w:sz="4" w:space="0" w:color="000000"/>
              <w:bottom w:val="single" w:sz="4" w:space="0" w:color="000000"/>
              <w:right w:val="single" w:sz="4" w:space="0" w:color="000000"/>
            </w:tcBorders>
            <w:hideMark/>
          </w:tcPr>
          <w:p w14:paraId="79748ADA"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3,1</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06FFD784"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3,1</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5916EA0E" w14:textId="639F7843" w:rsidR="00B7605C" w:rsidRDefault="00B85FD6" w:rsidP="00B7605C">
            <w:pPr>
              <w:jc w:val="center"/>
              <w:rPr>
                <w:rFonts w:ascii="Arial" w:hAnsi="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hAnsi="Cambria Math"/>
                        <w:szCs w:val="22"/>
                      </w:rPr>
                      <m:t>w</m:t>
                    </m:r>
                  </m:e>
                  <m:sub>
                    <m:r>
                      <w:rPr>
                        <w:rFonts w:ascii="Cambria Math" w:hAnsi="Cambria Math"/>
                        <w:szCs w:val="22"/>
                      </w:rPr>
                      <m:t>3,1</m:t>
                    </m:r>
                  </m:sub>
                </m:sSub>
              </m:oMath>
            </m:oMathPara>
          </w:p>
        </w:tc>
      </w:tr>
      <w:tr w:rsidR="00B7605C" w14:paraId="286CD1DF" w14:textId="3E8FED7F" w:rsidTr="00EA770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92B6F2" w14:textId="77777777" w:rsidR="00B7605C" w:rsidRDefault="00B7605C" w:rsidP="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7E810DBE" w14:textId="77777777" w:rsidR="00B7605C" w:rsidRDefault="00B7605C" w:rsidP="00B7605C">
            <w:pPr>
              <w:jc w:val="center"/>
              <w:rPr>
                <w:szCs w:val="22"/>
              </w:rPr>
            </w:pPr>
            <w:r>
              <w:rPr>
                <w:szCs w:val="22"/>
              </w:rPr>
              <w:t>2</w:t>
            </w:r>
          </w:p>
        </w:tc>
        <w:tc>
          <w:tcPr>
            <w:tcW w:w="1080" w:type="dxa"/>
            <w:tcBorders>
              <w:top w:val="single" w:sz="4" w:space="0" w:color="000000"/>
              <w:left w:val="single" w:sz="4" w:space="0" w:color="000000"/>
              <w:bottom w:val="single" w:sz="4" w:space="0" w:color="000000"/>
              <w:right w:val="single" w:sz="4" w:space="0" w:color="000000"/>
            </w:tcBorders>
            <w:hideMark/>
          </w:tcPr>
          <w:p w14:paraId="37F93C31"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3,2</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6F86FB8A"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3,2</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3296FD4D" w14:textId="56FDC05E" w:rsidR="00B7605C" w:rsidRDefault="00B85FD6" w:rsidP="00B7605C">
            <w:pPr>
              <w:jc w:val="center"/>
              <w:rPr>
                <w:rFonts w:ascii="Arial" w:hAnsi="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3,2</m:t>
                    </m:r>
                  </m:sub>
                </m:sSub>
              </m:oMath>
            </m:oMathPara>
          </w:p>
        </w:tc>
      </w:tr>
      <w:tr w:rsidR="00B7605C" w14:paraId="27D48B75" w14:textId="417F28C5" w:rsidTr="00EA7706">
        <w:trPr>
          <w:jc w:val="center"/>
        </w:trPr>
        <w:tc>
          <w:tcPr>
            <w:tcW w:w="715" w:type="dxa"/>
            <w:vMerge w:val="restart"/>
            <w:tcBorders>
              <w:top w:val="single" w:sz="4" w:space="0" w:color="000000"/>
              <w:left w:val="single" w:sz="4" w:space="0" w:color="000000"/>
              <w:bottom w:val="single" w:sz="4" w:space="0" w:color="000000"/>
              <w:right w:val="single" w:sz="4" w:space="0" w:color="000000"/>
            </w:tcBorders>
            <w:hideMark/>
          </w:tcPr>
          <w:p w14:paraId="71BC31D9" w14:textId="77777777" w:rsidR="00B7605C" w:rsidRDefault="00B7605C" w:rsidP="00B7605C">
            <w:pPr>
              <w:jc w:val="center"/>
              <w:rPr>
                <w:szCs w:val="22"/>
              </w:rPr>
            </w:pPr>
            <w:r>
              <w:rPr>
                <w:szCs w:val="22"/>
              </w:rPr>
              <w:t>4</w:t>
            </w:r>
          </w:p>
        </w:tc>
        <w:tc>
          <w:tcPr>
            <w:tcW w:w="1080" w:type="dxa"/>
            <w:tcBorders>
              <w:top w:val="single" w:sz="4" w:space="0" w:color="000000"/>
              <w:left w:val="single" w:sz="4" w:space="0" w:color="000000"/>
              <w:bottom w:val="single" w:sz="4" w:space="0" w:color="000000"/>
              <w:right w:val="single" w:sz="4" w:space="0" w:color="000000"/>
            </w:tcBorders>
            <w:hideMark/>
          </w:tcPr>
          <w:p w14:paraId="5BD149DE" w14:textId="77777777" w:rsidR="00B7605C" w:rsidRDefault="00B7605C" w:rsidP="00B7605C">
            <w:pPr>
              <w:jc w:val="center"/>
              <w:rPr>
                <w:szCs w:val="22"/>
              </w:rPr>
            </w:pPr>
            <w:r>
              <w:rPr>
                <w:szCs w:val="22"/>
              </w:rPr>
              <w:t>0</w:t>
            </w:r>
          </w:p>
        </w:tc>
        <w:tc>
          <w:tcPr>
            <w:tcW w:w="1080" w:type="dxa"/>
            <w:tcBorders>
              <w:top w:val="single" w:sz="4" w:space="0" w:color="000000"/>
              <w:left w:val="single" w:sz="4" w:space="0" w:color="000000"/>
              <w:bottom w:val="single" w:sz="4" w:space="0" w:color="000000"/>
              <w:right w:val="single" w:sz="4" w:space="0" w:color="000000"/>
            </w:tcBorders>
            <w:hideMark/>
          </w:tcPr>
          <w:p w14:paraId="070BA331"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4,0</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64804499"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4,0</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464BDF3E" w14:textId="5BAFDDB2" w:rsidR="00B7605C" w:rsidRDefault="00B85FD6" w:rsidP="00B7605C">
            <w:pPr>
              <w:jc w:val="center"/>
              <w:rPr>
                <w:rFonts w:ascii="Arial" w:hAnsi="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4,0</m:t>
                    </m:r>
                  </m:sub>
                </m:sSub>
              </m:oMath>
            </m:oMathPara>
          </w:p>
        </w:tc>
      </w:tr>
      <w:tr w:rsidR="00B7605C" w14:paraId="1C9975F8" w14:textId="741CD6F6" w:rsidTr="00EA770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F6D43C" w14:textId="77777777" w:rsidR="00B7605C" w:rsidRDefault="00B7605C" w:rsidP="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5B38B545" w14:textId="77777777" w:rsidR="00B7605C" w:rsidRDefault="00B7605C" w:rsidP="00B7605C">
            <w:pPr>
              <w:jc w:val="center"/>
              <w:rPr>
                <w:szCs w:val="22"/>
              </w:rPr>
            </w:pPr>
            <w:r>
              <w:rPr>
                <w:szCs w:val="22"/>
              </w:rPr>
              <w:t>1</w:t>
            </w:r>
          </w:p>
        </w:tc>
        <w:tc>
          <w:tcPr>
            <w:tcW w:w="1080" w:type="dxa"/>
            <w:tcBorders>
              <w:top w:val="single" w:sz="4" w:space="0" w:color="000000"/>
              <w:left w:val="single" w:sz="4" w:space="0" w:color="000000"/>
              <w:bottom w:val="single" w:sz="4" w:space="0" w:color="000000"/>
              <w:right w:val="single" w:sz="4" w:space="0" w:color="000000"/>
            </w:tcBorders>
            <w:hideMark/>
          </w:tcPr>
          <w:p w14:paraId="298F101A"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4,1</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70698ED5"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4,1</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116F8DA3" w14:textId="0ED0C031" w:rsidR="00B7605C" w:rsidRDefault="00B85FD6" w:rsidP="00B7605C">
            <w:pPr>
              <w:jc w:val="center"/>
              <w:rPr>
                <w:rFonts w:ascii="Arial" w:hAnsi="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4,1</m:t>
                    </m:r>
                  </m:sub>
                </m:sSub>
              </m:oMath>
            </m:oMathPara>
          </w:p>
        </w:tc>
      </w:tr>
      <w:tr w:rsidR="00B7605C" w14:paraId="2500B552" w14:textId="790F79A0" w:rsidTr="00EA770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4F76D9" w14:textId="77777777" w:rsidR="00B7605C" w:rsidRDefault="00B7605C" w:rsidP="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718F2ECE" w14:textId="77777777" w:rsidR="00B7605C" w:rsidRDefault="00B7605C" w:rsidP="00B7605C">
            <w:pPr>
              <w:jc w:val="center"/>
              <w:rPr>
                <w:szCs w:val="22"/>
              </w:rPr>
            </w:pPr>
            <w:r>
              <w:rPr>
                <w:szCs w:val="22"/>
              </w:rPr>
              <w:t>2</w:t>
            </w:r>
          </w:p>
        </w:tc>
        <w:tc>
          <w:tcPr>
            <w:tcW w:w="1080" w:type="dxa"/>
            <w:tcBorders>
              <w:top w:val="single" w:sz="4" w:space="0" w:color="000000"/>
              <w:left w:val="single" w:sz="4" w:space="0" w:color="000000"/>
              <w:bottom w:val="single" w:sz="4" w:space="0" w:color="000000"/>
              <w:right w:val="single" w:sz="4" w:space="0" w:color="000000"/>
            </w:tcBorders>
            <w:hideMark/>
          </w:tcPr>
          <w:p w14:paraId="1D039C15"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4,2</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2E87A639"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4,2</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61B9E476" w14:textId="6A4678DC" w:rsidR="00B7605C" w:rsidRDefault="00B85FD6" w:rsidP="00B7605C">
            <w:pPr>
              <w:jc w:val="center"/>
              <w:rPr>
                <w:rFonts w:ascii="Arial" w:hAnsi="Arial" w:cs="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4,2</m:t>
                    </m:r>
                  </m:sub>
                </m:sSub>
              </m:oMath>
            </m:oMathPara>
          </w:p>
        </w:tc>
      </w:tr>
      <w:tr w:rsidR="00B7605C" w14:paraId="000FBC28" w14:textId="3257EE9F" w:rsidTr="00EA770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738D1BF" w14:textId="77777777" w:rsidR="00B7605C" w:rsidRDefault="00B7605C" w:rsidP="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49D366C0" w14:textId="77777777" w:rsidR="00B7605C" w:rsidRDefault="00B7605C" w:rsidP="00B7605C">
            <w:pPr>
              <w:jc w:val="center"/>
              <w:rPr>
                <w:szCs w:val="22"/>
              </w:rPr>
            </w:pPr>
            <w:r>
              <w:rPr>
                <w:szCs w:val="22"/>
              </w:rPr>
              <w:t>3</w:t>
            </w:r>
          </w:p>
        </w:tc>
        <w:tc>
          <w:tcPr>
            <w:tcW w:w="1080" w:type="dxa"/>
            <w:tcBorders>
              <w:top w:val="single" w:sz="4" w:space="0" w:color="000000"/>
              <w:left w:val="single" w:sz="4" w:space="0" w:color="000000"/>
              <w:bottom w:val="single" w:sz="4" w:space="0" w:color="000000"/>
              <w:right w:val="single" w:sz="4" w:space="0" w:color="000000"/>
            </w:tcBorders>
            <w:hideMark/>
          </w:tcPr>
          <w:p w14:paraId="4E19AFD6"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4,3</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4A7B87A6" w14:textId="77777777" w:rsidR="00B7605C" w:rsidRDefault="00B85FD6"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4,3</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726A222D" w14:textId="4B700518" w:rsidR="00B7605C" w:rsidRDefault="00B85FD6" w:rsidP="00B7605C">
            <w:pPr>
              <w:jc w:val="center"/>
              <w:rPr>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4,3</m:t>
                    </m:r>
                  </m:sub>
                </m:sSub>
              </m:oMath>
            </m:oMathPara>
          </w:p>
        </w:tc>
      </w:tr>
    </w:tbl>
    <w:p w14:paraId="748A97D8" w14:textId="77421EEB" w:rsidR="008D02C8" w:rsidRDefault="008D02C8" w:rsidP="008D02C8"/>
    <w:p w14:paraId="656402F7" w14:textId="214451CE" w:rsidR="00DC7542" w:rsidRDefault="00FD1A16" w:rsidP="003E6A8E">
      <w:pPr>
        <w:pStyle w:val="BodyText"/>
      </w:pPr>
      <w:r>
        <w:t xml:space="preserve">For each layer </w:t>
      </w:r>
      <m:oMath>
        <m:r>
          <w:rPr>
            <w:rFonts w:ascii="Cambria Math" w:hAnsi="Cambria Math"/>
          </w:rPr>
          <m:t>l=0,…,R-1</m:t>
        </m:r>
      </m:oMath>
      <w:r>
        <w:t xml:space="preserve">, where </w:t>
      </w:r>
      <m:oMath>
        <m:r>
          <w:rPr>
            <w:rFonts w:ascii="Cambria Math" w:hAnsi="Cambria Math"/>
          </w:rPr>
          <m:t>R</m:t>
        </m:r>
      </m:oMath>
      <w:r>
        <w:t xml:space="preserve"> is the selected rank, an SD-basis selection (selecting </w:t>
      </w:r>
      <m:oMath>
        <m:r>
          <w:rPr>
            <w:rFonts w:ascii="Cambria Math" w:hAnsi="Cambria Math"/>
          </w:rPr>
          <m:t>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oMath>
      <w:r>
        <w:t xml:space="preserve"> spatial domain basis vectors) and an FD-basis selection (selecting </w:t>
      </w:r>
      <m:oMath>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t xml:space="preserve"> frequency domain basis vectors) is applied. It is possible that the SD and/or FD basis selection is done either jointly for all layers, jointly for layers in a layer group (e.g. layers 0,1 constitute a first layer group and layers 2,3 constitute a second layer group) or independently per layer. </w:t>
      </w:r>
    </w:p>
    <w:p w14:paraId="3EA91781" w14:textId="3FA629AB" w:rsidR="00FD1A16" w:rsidRDefault="001713EB" w:rsidP="00692F99">
      <w:pPr>
        <w:pStyle w:val="BodyText"/>
      </w:pPr>
      <w:r>
        <w:t xml:space="preserve">To </w:t>
      </w:r>
      <w:r w:rsidR="00692F99">
        <w:t>determine in which dimension the SD/FD basis can be reduced, we have performed SLS using 4Rx UE antenna setup in Dense Urban</w:t>
      </w:r>
      <w:r w:rsidR="00A36825">
        <w:t xml:space="preserve"> with NFB traffic model with 20%RU for the baseline scheme, using 0.5MB packet size. The BS antenna setup is 32Tx and the simulation BW is 10 MHz, other assumptions are summarized in the Appendix.</w:t>
      </w:r>
      <w:r w:rsidR="00042FEE">
        <w:t xml:space="preserve"> </w:t>
      </w:r>
      <w:r w:rsidR="00971603">
        <w:t>SU-MIMO scheduling is used.</w:t>
      </w:r>
    </w:p>
    <w:p w14:paraId="0478D754" w14:textId="3D044429" w:rsidR="00A36825" w:rsidRDefault="00A36825" w:rsidP="00692F99">
      <w:pPr>
        <w:pStyle w:val="BodyText"/>
      </w:pPr>
      <w:r>
        <w:lastRenderedPageBreak/>
        <w:t>The following systems are evaluated:</w:t>
      </w:r>
    </w:p>
    <w:p w14:paraId="3D69E4BD" w14:textId="77777777" w:rsidR="00285E1E" w:rsidRPr="00A36825" w:rsidRDefault="003513F0" w:rsidP="00A36825">
      <w:pPr>
        <w:pStyle w:val="ListParagraph"/>
        <w:numPr>
          <w:ilvl w:val="0"/>
          <w:numId w:val="50"/>
        </w:numPr>
        <w:rPr>
          <w:lang w:val="en-US"/>
        </w:rPr>
      </w:pPr>
      <w:r w:rsidRPr="00A36825">
        <w:rPr>
          <w:lang w:val="en-US"/>
        </w:rPr>
        <w:t>Type I codebook</w:t>
      </w:r>
    </w:p>
    <w:p w14:paraId="2278FF61" w14:textId="77777777" w:rsidR="00285E1E" w:rsidRPr="009A725A" w:rsidRDefault="003513F0" w:rsidP="00A36825">
      <w:pPr>
        <w:numPr>
          <w:ilvl w:val="0"/>
          <w:numId w:val="50"/>
        </w:numPr>
        <w:rPr>
          <w:lang w:val="en-US"/>
        </w:rPr>
      </w:pPr>
      <w:r w:rsidRPr="009A725A">
        <w:rPr>
          <w:lang w:val="en-US"/>
        </w:rPr>
        <w:t>Rel-15 Type II extension to RI=4, L=4</w:t>
      </w:r>
    </w:p>
    <w:p w14:paraId="16E9E21D" w14:textId="77777777" w:rsidR="00285E1E" w:rsidRPr="009A725A" w:rsidRDefault="003513F0" w:rsidP="00A36825">
      <w:pPr>
        <w:numPr>
          <w:ilvl w:val="0"/>
          <w:numId w:val="50"/>
        </w:numPr>
        <w:rPr>
          <w:lang w:val="en-US"/>
        </w:rPr>
      </w:pPr>
      <w:r w:rsidRPr="009A725A">
        <w:rPr>
          <w:lang w:val="en-US"/>
        </w:rPr>
        <w:t>Rel-16 Type II extension to RI=4, L=4</w:t>
      </w:r>
    </w:p>
    <w:p w14:paraId="25943D04" w14:textId="0A27F93B" w:rsidR="00285E1E" w:rsidRPr="00896287" w:rsidRDefault="003513F0" w:rsidP="00A36825">
      <w:pPr>
        <w:numPr>
          <w:ilvl w:val="0"/>
          <w:numId w:val="50"/>
        </w:numPr>
        <w:rPr>
          <w:lang w:val="en-US"/>
        </w:rPr>
      </w:pPr>
      <w:r w:rsidRPr="00896287">
        <w:rPr>
          <w:lang w:val="en-US"/>
        </w:rPr>
        <w:t>Scheme 1</w:t>
      </w:r>
      <w:proofErr w:type="gramStart"/>
      <w:r w:rsidRPr="00896287">
        <w:rPr>
          <w:lang w:val="en-US"/>
        </w:rPr>
        <w:t>: ”K</w:t>
      </w:r>
      <w:proofErr w:type="gramEnd"/>
      <w:r w:rsidRPr="00896287">
        <w:rPr>
          <w:lang w:val="en-US"/>
        </w:rPr>
        <w:t>0/2”</w:t>
      </w:r>
      <w:r w:rsidR="00A36825" w:rsidRPr="00896287">
        <w:rPr>
          <w:lang w:val="en-US"/>
        </w:rPr>
        <w:t xml:space="preserve"> </w:t>
      </w:r>
      <w:r w:rsidR="00896287" w:rsidRPr="00896287">
        <w:rPr>
          <w:lang w:val="en-US"/>
        </w:rPr>
        <w:t xml:space="preserve">Reduce only </w:t>
      </w:r>
      <w:r w:rsidR="00896287">
        <w:rPr>
          <w:lang w:val="en-US"/>
        </w:rPr>
        <w:t xml:space="preserve">the number of coefficients </w:t>
      </w:r>
    </w:p>
    <w:p w14:paraId="42F58B0F" w14:textId="77777777" w:rsidR="00285E1E" w:rsidRPr="009A725A" w:rsidRDefault="003513F0" w:rsidP="00A36825">
      <w:pPr>
        <w:numPr>
          <w:ilvl w:val="1"/>
          <w:numId w:val="50"/>
        </w:numPr>
        <w:rPr>
          <w:lang w:val="en-US"/>
        </w:rPr>
      </w:pPr>
      <w:r w:rsidRPr="009A725A">
        <w:rPr>
          <w:lang w:val="en-US"/>
        </w:rPr>
        <w:t>Same SD/FD basis as for RI=1,2</w:t>
      </w:r>
    </w:p>
    <w:p w14:paraId="60E498A9" w14:textId="77777777" w:rsidR="00285E1E" w:rsidRPr="009A725A" w:rsidRDefault="003513F0" w:rsidP="00A36825">
      <w:pPr>
        <w:numPr>
          <w:ilvl w:val="1"/>
          <w:numId w:val="50"/>
        </w:numPr>
        <w:rPr>
          <w:lang w:val="sv-SE"/>
        </w:rPr>
      </w:pPr>
      <w:r w:rsidRPr="009A725A">
        <w:rPr>
          <w:lang w:val="sv-SE"/>
        </w:rPr>
        <w:t>K0’ = K0/2 for RI=3,4</w:t>
      </w:r>
    </w:p>
    <w:p w14:paraId="3CC17FE9" w14:textId="7D1E428F" w:rsidR="00285E1E" w:rsidRPr="00896287" w:rsidRDefault="003513F0" w:rsidP="00A36825">
      <w:pPr>
        <w:numPr>
          <w:ilvl w:val="0"/>
          <w:numId w:val="50"/>
        </w:numPr>
        <w:rPr>
          <w:lang w:val="en-US"/>
        </w:rPr>
      </w:pPr>
      <w:r w:rsidRPr="00896287">
        <w:rPr>
          <w:lang w:val="en-US"/>
        </w:rPr>
        <w:t>Scheme 2</w:t>
      </w:r>
      <w:proofErr w:type="gramStart"/>
      <w:r w:rsidRPr="00896287">
        <w:rPr>
          <w:lang w:val="en-US"/>
        </w:rPr>
        <w:t>: ”K</w:t>
      </w:r>
      <w:proofErr w:type="gramEnd"/>
      <w:r w:rsidRPr="00896287">
        <w:rPr>
          <w:lang w:val="en-US"/>
        </w:rPr>
        <w:t>0/2 &amp; M/2”</w:t>
      </w:r>
      <w:r w:rsidR="00896287" w:rsidRPr="00896287">
        <w:rPr>
          <w:lang w:val="en-US"/>
        </w:rPr>
        <w:t xml:space="preserve"> Reduce n</w:t>
      </w:r>
      <w:r w:rsidR="00896287">
        <w:rPr>
          <w:lang w:val="en-US"/>
        </w:rPr>
        <w:t>umber of coefficients and FD basis size</w:t>
      </w:r>
    </w:p>
    <w:p w14:paraId="6654D26D" w14:textId="77777777" w:rsidR="00285E1E" w:rsidRPr="009A725A" w:rsidRDefault="003513F0" w:rsidP="00A36825">
      <w:pPr>
        <w:numPr>
          <w:ilvl w:val="1"/>
          <w:numId w:val="50"/>
        </w:numPr>
        <w:rPr>
          <w:lang w:val="en-US"/>
        </w:rPr>
      </w:pPr>
      <w:r w:rsidRPr="009A725A">
        <w:rPr>
          <w:lang w:val="en-US"/>
        </w:rPr>
        <w:t>Same SD basis as for RI=1,2</w:t>
      </w:r>
    </w:p>
    <w:p w14:paraId="5F19960F" w14:textId="77777777" w:rsidR="00285E1E" w:rsidRPr="009A725A" w:rsidRDefault="003513F0" w:rsidP="00A36825">
      <w:pPr>
        <w:numPr>
          <w:ilvl w:val="1"/>
          <w:numId w:val="50"/>
        </w:numPr>
        <w:rPr>
          <w:lang w:val="en-US"/>
        </w:rPr>
      </w:pPr>
      <w:r w:rsidRPr="009A725A">
        <w:rPr>
          <w:lang w:val="en-US"/>
        </w:rPr>
        <w:t xml:space="preserve">Half FD </w:t>
      </w:r>
      <w:proofErr w:type="gramStart"/>
      <w:r w:rsidRPr="009A725A">
        <w:rPr>
          <w:lang w:val="en-US"/>
        </w:rPr>
        <w:t>basis  size</w:t>
      </w:r>
      <w:proofErr w:type="gramEnd"/>
      <w:r w:rsidRPr="009A725A">
        <w:rPr>
          <w:lang w:val="en-US"/>
        </w:rPr>
        <w:t xml:space="preserve"> for RI=3,4</w:t>
      </w:r>
    </w:p>
    <w:p w14:paraId="739E9DF4" w14:textId="77777777" w:rsidR="00285E1E" w:rsidRPr="009A725A" w:rsidRDefault="003513F0" w:rsidP="00A36825">
      <w:pPr>
        <w:numPr>
          <w:ilvl w:val="1"/>
          <w:numId w:val="50"/>
        </w:numPr>
        <w:rPr>
          <w:lang w:val="sv-SE"/>
        </w:rPr>
      </w:pPr>
      <w:r w:rsidRPr="009A725A">
        <w:rPr>
          <w:lang w:val="sv-SE"/>
        </w:rPr>
        <w:t>K0’ = K0/2 for RI=3,4</w:t>
      </w:r>
    </w:p>
    <w:p w14:paraId="271E980C" w14:textId="0EE9297A" w:rsidR="00285E1E" w:rsidRPr="00896287" w:rsidRDefault="003513F0" w:rsidP="00A36825">
      <w:pPr>
        <w:numPr>
          <w:ilvl w:val="0"/>
          <w:numId w:val="50"/>
        </w:numPr>
        <w:rPr>
          <w:lang w:val="en-US"/>
        </w:rPr>
      </w:pPr>
      <w:r w:rsidRPr="00896287">
        <w:rPr>
          <w:lang w:val="en-US"/>
        </w:rPr>
        <w:t>Scheme 3</w:t>
      </w:r>
      <w:proofErr w:type="gramStart"/>
      <w:r w:rsidRPr="00896287">
        <w:rPr>
          <w:lang w:val="en-US"/>
        </w:rPr>
        <w:t>: ”K</w:t>
      </w:r>
      <w:proofErr w:type="gramEnd"/>
      <w:r w:rsidRPr="00896287">
        <w:rPr>
          <w:lang w:val="en-US"/>
        </w:rPr>
        <w:t>0/2 &amp; L/2”</w:t>
      </w:r>
      <w:r w:rsidR="00896287" w:rsidRPr="00896287">
        <w:rPr>
          <w:lang w:val="en-US"/>
        </w:rPr>
        <w:t xml:space="preserve"> Reduce n</w:t>
      </w:r>
      <w:r w:rsidR="00896287">
        <w:rPr>
          <w:lang w:val="en-US"/>
        </w:rPr>
        <w:t>umber of coefficients and SD basis size</w:t>
      </w:r>
    </w:p>
    <w:p w14:paraId="5BBBC851" w14:textId="77777777" w:rsidR="00285E1E" w:rsidRPr="009A725A" w:rsidRDefault="003513F0" w:rsidP="00A36825">
      <w:pPr>
        <w:numPr>
          <w:ilvl w:val="1"/>
          <w:numId w:val="50"/>
        </w:numPr>
        <w:rPr>
          <w:lang w:val="en-US"/>
        </w:rPr>
      </w:pPr>
      <w:r w:rsidRPr="009A725A">
        <w:rPr>
          <w:lang w:val="en-US"/>
        </w:rPr>
        <w:t>Half SD basis size as for RI=1,2</w:t>
      </w:r>
    </w:p>
    <w:p w14:paraId="4E00C1F6" w14:textId="77777777" w:rsidR="00285E1E" w:rsidRPr="009A725A" w:rsidRDefault="003513F0" w:rsidP="00A36825">
      <w:pPr>
        <w:numPr>
          <w:ilvl w:val="1"/>
          <w:numId w:val="50"/>
        </w:numPr>
        <w:rPr>
          <w:lang w:val="en-US"/>
        </w:rPr>
      </w:pPr>
      <w:r w:rsidRPr="009A725A">
        <w:rPr>
          <w:lang w:val="en-US"/>
        </w:rPr>
        <w:t xml:space="preserve">Same FD </w:t>
      </w:r>
      <w:proofErr w:type="gramStart"/>
      <w:r w:rsidRPr="009A725A">
        <w:rPr>
          <w:lang w:val="en-US"/>
        </w:rPr>
        <w:t>basis  as</w:t>
      </w:r>
      <w:proofErr w:type="gramEnd"/>
      <w:r w:rsidRPr="009A725A">
        <w:rPr>
          <w:lang w:val="en-US"/>
        </w:rPr>
        <w:t xml:space="preserve"> for RI=3,4</w:t>
      </w:r>
    </w:p>
    <w:p w14:paraId="0E1DE1D9" w14:textId="77777777" w:rsidR="00285E1E" w:rsidRPr="009A725A" w:rsidRDefault="003513F0" w:rsidP="00A36825">
      <w:pPr>
        <w:numPr>
          <w:ilvl w:val="1"/>
          <w:numId w:val="50"/>
        </w:numPr>
        <w:rPr>
          <w:lang w:val="sv-SE"/>
        </w:rPr>
      </w:pPr>
      <w:r w:rsidRPr="009A725A">
        <w:rPr>
          <w:lang w:val="sv-SE"/>
        </w:rPr>
        <w:t>K0’ = K0/2 for RI=3,4</w:t>
      </w:r>
    </w:p>
    <w:p w14:paraId="2B6DEF64" w14:textId="737836A7" w:rsidR="00285E1E" w:rsidRDefault="003513F0" w:rsidP="00A36825">
      <w:pPr>
        <w:numPr>
          <w:ilvl w:val="0"/>
          <w:numId w:val="50"/>
        </w:numPr>
        <w:rPr>
          <w:lang w:val="en-US"/>
        </w:rPr>
      </w:pPr>
      <w:r w:rsidRPr="009A725A">
        <w:rPr>
          <w:lang w:val="en-US"/>
        </w:rPr>
        <w:t>Rel-15 Type II max rank 2, L=4</w:t>
      </w:r>
    </w:p>
    <w:p w14:paraId="6CAE6B94" w14:textId="1E7A2A41" w:rsidR="00896287" w:rsidRDefault="00896287" w:rsidP="00896287">
      <w:pPr>
        <w:ind w:left="360"/>
        <w:rPr>
          <w:lang w:val="en-US"/>
        </w:rPr>
      </w:pPr>
    </w:p>
    <w:p w14:paraId="4FB3D255" w14:textId="6877E27A" w:rsidR="00896287" w:rsidRDefault="00896287" w:rsidP="00896287">
      <w:pPr>
        <w:ind w:left="360"/>
        <w:rPr>
          <w:lang w:val="en-US"/>
        </w:rPr>
      </w:pPr>
      <w:r>
        <w:rPr>
          <w:lang w:val="en-US"/>
        </w:rPr>
        <w:t xml:space="preserve">The average UPT gain over Type I codebook is </w:t>
      </w:r>
      <w:r w:rsidR="00042FEE">
        <w:rPr>
          <w:lang w:val="en-US"/>
        </w:rPr>
        <w:t xml:space="preserve">shown in </w:t>
      </w:r>
      <w:r w:rsidR="00042FEE">
        <w:rPr>
          <w:lang w:val="en-US"/>
        </w:rPr>
        <w:fldChar w:fldCharType="begin"/>
      </w:r>
      <w:r w:rsidR="00042FEE">
        <w:rPr>
          <w:lang w:val="en-US"/>
        </w:rPr>
        <w:instrText xml:space="preserve"> REF _Ref4777058 \h </w:instrText>
      </w:r>
      <w:r w:rsidR="00042FEE">
        <w:rPr>
          <w:lang w:val="en-US"/>
        </w:rPr>
      </w:r>
      <w:r w:rsidR="00042FEE">
        <w:rPr>
          <w:lang w:val="en-US"/>
        </w:rPr>
        <w:fldChar w:fldCharType="separate"/>
      </w:r>
      <w:r w:rsidR="00DE792D">
        <w:t xml:space="preserve">Figure </w:t>
      </w:r>
      <w:r w:rsidR="00DE792D">
        <w:rPr>
          <w:noProof/>
        </w:rPr>
        <w:t>1</w:t>
      </w:r>
      <w:r w:rsidR="00042FEE">
        <w:rPr>
          <w:lang w:val="en-US"/>
        </w:rPr>
        <w:fldChar w:fldCharType="end"/>
      </w:r>
      <w:r w:rsidR="00042FEE">
        <w:rPr>
          <w:lang w:val="en-US"/>
        </w:rPr>
        <w:t xml:space="preserve"> below.</w:t>
      </w:r>
    </w:p>
    <w:p w14:paraId="76F07002" w14:textId="024A11DF" w:rsidR="00896287" w:rsidRDefault="00971603" w:rsidP="00896287">
      <w:pPr>
        <w:pStyle w:val="ListParagraph"/>
        <w:keepNext/>
      </w:pPr>
      <w:r>
        <w:rPr>
          <w:noProof/>
        </w:rPr>
        <w:drawing>
          <wp:inline distT="0" distB="0" distL="0" distR="0" wp14:anchorId="4E19BBF9" wp14:editId="16F211BE">
            <wp:extent cx="5181600" cy="33944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4653" cy="3396430"/>
                    </a:xfrm>
                    <a:prstGeom prst="rect">
                      <a:avLst/>
                    </a:prstGeom>
                    <a:noFill/>
                  </pic:spPr>
                </pic:pic>
              </a:graphicData>
            </a:graphic>
          </wp:inline>
        </w:drawing>
      </w:r>
    </w:p>
    <w:p w14:paraId="0105E422" w14:textId="446D47AF" w:rsidR="00896287" w:rsidRDefault="00896287" w:rsidP="00896287">
      <w:pPr>
        <w:pStyle w:val="Caption"/>
        <w:ind w:left="360"/>
        <w:rPr>
          <w:lang w:val="en-US"/>
        </w:rPr>
      </w:pPr>
      <w:bookmarkStart w:id="2" w:name="_Ref4777058"/>
      <w:r>
        <w:t xml:space="preserve">Figure </w:t>
      </w:r>
      <w:r>
        <w:fldChar w:fldCharType="begin"/>
      </w:r>
      <w:r>
        <w:instrText xml:space="preserve"> SEQ Figure \* ARABIC </w:instrText>
      </w:r>
      <w:r>
        <w:fldChar w:fldCharType="separate"/>
      </w:r>
      <w:r w:rsidR="00DE792D">
        <w:rPr>
          <w:noProof/>
        </w:rPr>
        <w:t>1</w:t>
      </w:r>
      <w:r>
        <w:fldChar w:fldCharType="end"/>
      </w:r>
      <w:bookmarkEnd w:id="2"/>
      <w:r>
        <w:t>: Performance of different high-rank codebooks.</w:t>
      </w:r>
    </w:p>
    <w:p w14:paraId="2BBFC4DF" w14:textId="771BA255" w:rsidR="00896287" w:rsidRPr="009A725A" w:rsidRDefault="00042FEE" w:rsidP="00896287">
      <w:pPr>
        <w:rPr>
          <w:lang w:val="en-US"/>
        </w:rPr>
      </w:pPr>
      <w:r>
        <w:rPr>
          <w:lang w:val="en-US"/>
        </w:rPr>
        <w:lastRenderedPageBreak/>
        <w:t xml:space="preserve">An immediate observation is that the performance gain with improved precoding is reliably low, since </w:t>
      </w:r>
      <w:r w:rsidR="00971603">
        <w:rPr>
          <w:lang w:val="en-US"/>
        </w:rPr>
        <w:t>no</w:t>
      </w:r>
      <w:r>
        <w:rPr>
          <w:lang w:val="en-US"/>
        </w:rPr>
        <w:t xml:space="preserve"> MU-MIMO scheudling is used and </w:t>
      </w:r>
      <w:r w:rsidR="00272F61">
        <w:rPr>
          <w:lang w:val="en-US"/>
        </w:rPr>
        <w:t>for high-rank SU-MIMO, precoding gain is not as important as for MU-MIMO as the UE can</w:t>
      </w:r>
      <w:r w:rsidR="004E5FD5">
        <w:rPr>
          <w:lang w:val="en-US"/>
        </w:rPr>
        <w:t xml:space="preserve"> cancel inter-layer interference at the receiving side.</w:t>
      </w:r>
    </w:p>
    <w:p w14:paraId="356792C2" w14:textId="5C4AFAE2" w:rsidR="002573C2" w:rsidRDefault="002573C2" w:rsidP="00042FEE">
      <w:pPr>
        <w:pStyle w:val="Observation"/>
        <w:rPr>
          <w:lang w:val="en-US"/>
        </w:rPr>
      </w:pPr>
      <w:bookmarkStart w:id="3" w:name="_Toc4777948"/>
      <w:r w:rsidRPr="002573C2">
        <w:rPr>
          <w:lang w:val="en-US"/>
        </w:rPr>
        <w:t>Small gains for Type II extension compared to Type I for high rank codebook</w:t>
      </w:r>
      <w:bookmarkEnd w:id="3"/>
    </w:p>
    <w:p w14:paraId="5A0A5978" w14:textId="48836547" w:rsidR="004E5FD5" w:rsidRDefault="004E5FD5" w:rsidP="009C6E0D">
      <w:pPr>
        <w:rPr>
          <w:lang w:val="en-US"/>
        </w:rPr>
      </w:pPr>
      <w:r>
        <w:rPr>
          <w:lang w:val="en-US"/>
        </w:rPr>
        <w:t>Therefore, in our view, the high-rank codebook design should strive to minimize overhead and not</w:t>
      </w:r>
      <w:r w:rsidR="009C6E0D">
        <w:rPr>
          <w:lang w:val="en-US"/>
        </w:rPr>
        <w:t xml:space="preserve"> be overly complicated.</w:t>
      </w:r>
      <w:r w:rsidR="001E1A42">
        <w:rPr>
          <w:lang w:val="en-US"/>
        </w:rPr>
        <w:t xml:space="preserve"> </w:t>
      </w:r>
    </w:p>
    <w:p w14:paraId="73D137EC" w14:textId="30798EA4" w:rsidR="001E1A42" w:rsidRPr="002573C2" w:rsidRDefault="001E1A42" w:rsidP="009C6E0D">
      <w:pPr>
        <w:rPr>
          <w:lang w:val="en-US"/>
        </w:rPr>
      </w:pPr>
      <w:r>
        <w:rPr>
          <w:lang w:val="en-US"/>
        </w:rPr>
        <w:t>Reducing only the number of coefficients while maintaining the basis size gives almost no reduction in performance</w:t>
      </w:r>
      <w:r w:rsidR="006D1C4C">
        <w:rPr>
          <w:lang w:val="en-US"/>
        </w:rPr>
        <w:t xml:space="preserve"> and reducing the FD-basis size to half yields only a small loss in performance (while the overhead for bitmap indication can be cut in half).</w:t>
      </w:r>
      <w:r w:rsidR="00291027">
        <w:rPr>
          <w:lang w:val="en-US"/>
        </w:rPr>
        <w:t xml:space="preserve"> However, reducing the SD-basis size results in substantial performance loss, likely due to that it is difficult to maintain layer orthogonality with only a few spatial domain basis vectors.</w:t>
      </w:r>
    </w:p>
    <w:p w14:paraId="2E73B2B4" w14:textId="732E56FB" w:rsidR="002573C2" w:rsidRPr="002573C2" w:rsidRDefault="002573C2" w:rsidP="00042FEE">
      <w:pPr>
        <w:pStyle w:val="Observation"/>
        <w:rPr>
          <w:lang w:val="en-US"/>
        </w:rPr>
      </w:pPr>
      <w:bookmarkStart w:id="4" w:name="_Toc4777949"/>
      <w:r w:rsidRPr="002573C2">
        <w:rPr>
          <w:lang w:val="en-US"/>
        </w:rPr>
        <w:t xml:space="preserve">Reducing both FD-basis size and number of NZC coefficients K0 results in almost no performance loss and good </w:t>
      </w:r>
      <w:r w:rsidR="009C6E0D" w:rsidRPr="002573C2">
        <w:rPr>
          <w:lang w:val="en-US"/>
        </w:rPr>
        <w:t>reduction</w:t>
      </w:r>
      <w:r w:rsidRPr="002573C2">
        <w:rPr>
          <w:lang w:val="en-US"/>
        </w:rPr>
        <w:t xml:space="preserve"> in overhead compared to simple extension</w:t>
      </w:r>
      <w:bookmarkEnd w:id="4"/>
    </w:p>
    <w:p w14:paraId="279B6AA6" w14:textId="4261E8BE" w:rsidR="002573C2" w:rsidRDefault="002573C2" w:rsidP="00042FEE">
      <w:pPr>
        <w:pStyle w:val="Observation"/>
        <w:rPr>
          <w:lang w:val="en-US"/>
        </w:rPr>
      </w:pPr>
      <w:bookmarkStart w:id="5" w:name="_Toc4777950"/>
      <w:r w:rsidRPr="002573C2">
        <w:rPr>
          <w:lang w:val="en-US"/>
        </w:rPr>
        <w:t xml:space="preserve">Reducing SD-basis size yields </w:t>
      </w:r>
      <w:r w:rsidR="001E1A42">
        <w:rPr>
          <w:lang w:val="en-US"/>
        </w:rPr>
        <w:t xml:space="preserve">substantial loss </w:t>
      </w:r>
      <w:r w:rsidRPr="002573C2">
        <w:rPr>
          <w:lang w:val="en-US"/>
        </w:rPr>
        <w:t>due to problem with layer orthogonality</w:t>
      </w:r>
      <w:bookmarkEnd w:id="5"/>
    </w:p>
    <w:p w14:paraId="412A9F95" w14:textId="14B85248" w:rsidR="00291027" w:rsidRPr="002573C2" w:rsidRDefault="00291027" w:rsidP="00291027">
      <w:pPr>
        <w:rPr>
          <w:lang w:val="en-US"/>
        </w:rPr>
      </w:pPr>
      <w:r>
        <w:rPr>
          <w:lang w:val="en-US"/>
        </w:rPr>
        <w:t>For reference, the</w:t>
      </w:r>
      <w:r w:rsidR="00821DE2">
        <w:rPr>
          <w:lang w:val="en-US"/>
        </w:rPr>
        <w:t xml:space="preserve"> rank distribution is shown in </w:t>
      </w:r>
      <w:r w:rsidR="00821DE2">
        <w:rPr>
          <w:lang w:val="en-US"/>
        </w:rPr>
        <w:fldChar w:fldCharType="begin"/>
      </w:r>
      <w:r w:rsidR="00821DE2">
        <w:rPr>
          <w:lang w:val="en-US"/>
        </w:rPr>
        <w:instrText xml:space="preserve"> REF _Ref4777565 \h </w:instrText>
      </w:r>
      <w:r w:rsidR="00821DE2">
        <w:rPr>
          <w:lang w:val="en-US"/>
        </w:rPr>
      </w:r>
      <w:r w:rsidR="00821DE2">
        <w:rPr>
          <w:lang w:val="en-US"/>
        </w:rPr>
        <w:fldChar w:fldCharType="separate"/>
      </w:r>
      <w:r w:rsidR="00DE792D" w:rsidRPr="00B62554">
        <w:rPr>
          <w:b/>
        </w:rPr>
        <w:t xml:space="preserve">Figure </w:t>
      </w:r>
      <w:r w:rsidR="00DE792D">
        <w:rPr>
          <w:b/>
          <w:noProof/>
        </w:rPr>
        <w:t>2</w:t>
      </w:r>
      <w:r w:rsidR="00821DE2">
        <w:rPr>
          <w:lang w:val="en-US"/>
        </w:rPr>
        <w:fldChar w:fldCharType="end"/>
      </w:r>
      <w:r w:rsidR="00821DE2">
        <w:rPr>
          <w:lang w:val="en-US"/>
        </w:rPr>
        <w:t>, which shows that</w:t>
      </w:r>
      <w:r w:rsidR="00B62554">
        <w:rPr>
          <w:lang w:val="en-US"/>
        </w:rPr>
        <w:t xml:space="preserve"> around 70% of scheduling decisions is for RI=3,4.</w:t>
      </w:r>
    </w:p>
    <w:p w14:paraId="41C62C47" w14:textId="77777777" w:rsidR="00042FEE" w:rsidRDefault="00042FEE" w:rsidP="00042FEE">
      <w:pPr>
        <w:jc w:val="center"/>
      </w:pPr>
      <w:r w:rsidRPr="00144F4C">
        <w:rPr>
          <w:noProof/>
        </w:rPr>
        <w:drawing>
          <wp:inline distT="0" distB="0" distL="0" distR="0" wp14:anchorId="343C4573" wp14:editId="0741214D">
            <wp:extent cx="4594058" cy="3764654"/>
            <wp:effectExtent l="0" t="0" r="0" b="0"/>
            <wp:docPr id="4" name="Picture 3">
              <a:extLst xmlns:a="http://schemas.openxmlformats.org/drawingml/2006/main">
                <a:ext uri="{FF2B5EF4-FFF2-40B4-BE49-F238E27FC236}">
                  <a16:creationId xmlns:a16="http://schemas.microsoft.com/office/drawing/2014/main" id="{1E0F681F-5688-40CF-BA63-8D1D824724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E0F681F-5688-40CF-BA63-8D1D82472430}"/>
                        </a:ext>
                      </a:extLst>
                    </pic:cNvPr>
                    <pic:cNvPicPr>
                      <a:picLocks noChangeAspect="1"/>
                    </pic:cNvPicPr>
                  </pic:nvPicPr>
                  <pic:blipFill>
                    <a:blip r:embed="rId17"/>
                    <a:stretch>
                      <a:fillRect/>
                    </a:stretch>
                  </pic:blipFill>
                  <pic:spPr>
                    <a:xfrm>
                      <a:off x="0" y="0"/>
                      <a:ext cx="4594058" cy="3764654"/>
                    </a:xfrm>
                    <a:prstGeom prst="rect">
                      <a:avLst/>
                    </a:prstGeom>
                  </pic:spPr>
                </pic:pic>
              </a:graphicData>
            </a:graphic>
          </wp:inline>
        </w:drawing>
      </w:r>
    </w:p>
    <w:p w14:paraId="6A9D6BC5" w14:textId="3AC8A501" w:rsidR="00042FEE" w:rsidRPr="00B62554" w:rsidRDefault="00042FEE" w:rsidP="00042FEE">
      <w:pPr>
        <w:jc w:val="center"/>
        <w:rPr>
          <w:b/>
        </w:rPr>
      </w:pPr>
      <w:bookmarkStart w:id="6" w:name="_Ref4777565"/>
      <w:r w:rsidRPr="00B62554">
        <w:rPr>
          <w:b/>
        </w:rPr>
        <w:t xml:space="preserve">Figure </w:t>
      </w:r>
      <w:r w:rsidRPr="00B62554">
        <w:rPr>
          <w:b/>
        </w:rPr>
        <w:fldChar w:fldCharType="begin"/>
      </w:r>
      <w:r w:rsidRPr="00B62554">
        <w:rPr>
          <w:b/>
        </w:rPr>
        <w:instrText xml:space="preserve"> SEQ Figure \* ARABIC </w:instrText>
      </w:r>
      <w:r w:rsidRPr="00B62554">
        <w:rPr>
          <w:b/>
        </w:rPr>
        <w:fldChar w:fldCharType="separate"/>
      </w:r>
      <w:r w:rsidR="00DE792D">
        <w:rPr>
          <w:b/>
          <w:noProof/>
        </w:rPr>
        <w:t>2</w:t>
      </w:r>
      <w:r w:rsidRPr="00B62554">
        <w:rPr>
          <w:b/>
        </w:rPr>
        <w:fldChar w:fldCharType="end"/>
      </w:r>
      <w:bookmarkEnd w:id="6"/>
      <w:r w:rsidRPr="00B62554">
        <w:rPr>
          <w:b/>
        </w:rPr>
        <w:t>: Distribution of rank selection for the evaluated schemes</w:t>
      </w:r>
    </w:p>
    <w:p w14:paraId="5F830E3D" w14:textId="63D55106" w:rsidR="00042FEE" w:rsidRDefault="00756EE8" w:rsidP="00E0501D">
      <w:r w:rsidRPr="00756EE8">
        <w:t>Based on th</w:t>
      </w:r>
      <w:r>
        <w:t xml:space="preserve">ese results, it can be concluded that </w:t>
      </w:r>
      <w:r w:rsidR="00E0501D">
        <w:t>it seems more promising to reduce the FD-basis size rather than the SD-basis size.</w:t>
      </w:r>
      <w:r w:rsidR="007B5D77">
        <w:t xml:space="preserve"> Therefore, we propose:</w:t>
      </w:r>
    </w:p>
    <w:p w14:paraId="173EB06E" w14:textId="045BFD61" w:rsidR="007B5D77" w:rsidRDefault="007B5D77" w:rsidP="007B5D77">
      <w:pPr>
        <w:pStyle w:val="Proposal"/>
      </w:pPr>
      <w:bookmarkStart w:id="7" w:name="_Toc4777961"/>
      <w:r>
        <w:t>For SD/FD basis parametrisation, consider Alt 3, RI-common for RI</w:t>
      </w:r>
      <w:proofErr w:type="gramStart"/>
      <w:r>
        <w:t>={</w:t>
      </w:r>
      <w:proofErr w:type="gramEnd"/>
      <w:r>
        <w:t>3,4} and layer common, with M’=M/2 and L’=L</w:t>
      </w:r>
      <w:bookmarkEnd w:id="7"/>
    </w:p>
    <w:p w14:paraId="6F743C55" w14:textId="0846C00F" w:rsidR="00B62554" w:rsidRDefault="007B5D77" w:rsidP="00B62554">
      <w:pPr>
        <w:pStyle w:val="BodyText"/>
      </w:pPr>
      <w:r>
        <w:t>Regarding basis selection, a</w:t>
      </w:r>
      <w:r w:rsidR="00B62554">
        <w:t xml:space="preserve"> starting point could be to follow the existing design principles for RI=1,2, i.e. SD-basis selection is joint across layers while FD-basis selection is independent per layer</w:t>
      </w:r>
      <w:r w:rsidR="00756EE8">
        <w:t>.</w:t>
      </w:r>
    </w:p>
    <w:p w14:paraId="593B7945" w14:textId="3E48EA72" w:rsidR="00B62554" w:rsidRDefault="00B62554" w:rsidP="00B62554">
      <w:pPr>
        <w:pStyle w:val="Proposal"/>
      </w:pPr>
      <w:bookmarkStart w:id="8" w:name="_Toc4777962"/>
      <w:r>
        <w:t>As starting point for discussion, consider layer-independent FD-basis selection and layer-common SD-basis selection</w:t>
      </w:r>
      <w:bookmarkEnd w:id="8"/>
    </w:p>
    <w:p w14:paraId="0E56E2F2" w14:textId="46A0DE7A" w:rsidR="007B5D77" w:rsidRDefault="00383866" w:rsidP="007B5D77">
      <w:r>
        <w:lastRenderedPageBreak/>
        <w:t>For t</w:t>
      </w:r>
      <w:r w:rsidR="007B5D77">
        <w:t>he maximum number of non-zero coefficient per layer</w:t>
      </w:r>
      <w:r>
        <w:t xml:space="preserve">, it seems simpler to </w:t>
      </w:r>
      <w:r w:rsidR="00DE792D">
        <w:t>consider a cap on the total number of coefficients across all layers.</w:t>
      </w:r>
    </w:p>
    <w:p w14:paraId="6E01A5CE" w14:textId="3C0998B7" w:rsidR="00DE792D" w:rsidRPr="001B05A2" w:rsidRDefault="00DE792D" w:rsidP="00DE792D">
      <w:pPr>
        <w:pStyle w:val="Proposal"/>
      </w:pPr>
      <w:bookmarkStart w:id="9" w:name="_Toc4777963"/>
      <w:r>
        <w:t xml:space="preserve">For max # NZ coefficients, consider </w:t>
      </w:r>
      <w:r w:rsidRPr="001B05A2">
        <w:t>Alt1. Total max # NZ coefficients across all layers ≤ 2</w:t>
      </w:r>
      <w:r w:rsidRPr="001B05A2">
        <w:rPr>
          <w:rStyle w:val="Emphasis"/>
        </w:rPr>
        <w:t>K</w:t>
      </w:r>
      <w:r w:rsidRPr="001B05A2">
        <w:rPr>
          <w:rStyle w:val="Emphasis"/>
          <w:vertAlign w:val="subscript"/>
        </w:rPr>
        <w:t>0</w:t>
      </w:r>
      <w:r w:rsidRPr="001B05A2">
        <w:rPr>
          <w:lang w:val="en-US"/>
        </w:rPr>
        <w:t xml:space="preserve"> (the </w:t>
      </w:r>
      <w:r w:rsidRPr="001B05A2">
        <w:rPr>
          <w:rStyle w:val="Emphasis"/>
        </w:rPr>
        <w:t>K</w:t>
      </w:r>
      <w:r w:rsidRPr="001B05A2">
        <w:rPr>
          <w:rStyle w:val="Emphasis"/>
          <w:vertAlign w:val="subscript"/>
        </w:rPr>
        <w:t>0</w:t>
      </w:r>
      <w:r w:rsidRPr="001B05A2">
        <w:rPr>
          <w:lang w:val="en-US"/>
        </w:rPr>
        <w:t xml:space="preserve"> value set for </w:t>
      </w:r>
      <w:r w:rsidRPr="001B05A2">
        <w:t>RI</w:t>
      </w:r>
      <w:r w:rsidRPr="001B05A2">
        <w:sym w:font="Symbol" w:char="F0CE"/>
      </w:r>
      <w:r w:rsidRPr="001B05A2">
        <w:t>{1,2}</w:t>
      </w:r>
      <w:r w:rsidRPr="001B05A2">
        <w:rPr>
          <w:lang w:val="en-US"/>
        </w:rPr>
        <w:t>)</w:t>
      </w:r>
      <w:bookmarkEnd w:id="9"/>
    </w:p>
    <w:p w14:paraId="76D6D1E0" w14:textId="6ED663AA" w:rsidR="0082344D" w:rsidRDefault="0082344D" w:rsidP="0082344D">
      <w:pPr>
        <w:pStyle w:val="Heading1"/>
      </w:pPr>
      <w:r>
        <w:t>Support of L=6 beams</w:t>
      </w:r>
    </w:p>
    <w:p w14:paraId="31BA6653" w14:textId="036BBBCD" w:rsidR="008D02C8" w:rsidRDefault="008D02C8" w:rsidP="008D02C8">
      <w:r>
        <w:t>As further elaborate</w:t>
      </w:r>
      <w:r w:rsidR="00F16781">
        <w:t>d</w:t>
      </w:r>
      <w:r>
        <w:t xml:space="preserve"> in our companion contribution [4], </w:t>
      </w:r>
      <w:r w:rsidR="00294A66">
        <w:t xml:space="preserve">even for 32 antenna ports, the benefit with L=6 over </w:t>
      </w:r>
      <w:r w:rsidR="00F16781">
        <w:t xml:space="preserve">L=4 is rather limited, which may also be inferred from </w:t>
      </w:r>
      <w:r w:rsidR="00F16781">
        <w:fldChar w:fldCharType="begin"/>
      </w:r>
      <w:r w:rsidR="00F16781">
        <w:instrText xml:space="preserve"> REF _Ref4772875 \h </w:instrText>
      </w:r>
      <w:r w:rsidR="00F16781">
        <w:fldChar w:fldCharType="separate"/>
      </w:r>
      <w:r w:rsidR="00DE792D">
        <w:t xml:space="preserve">Figure </w:t>
      </w:r>
      <w:r w:rsidR="00DE792D">
        <w:rPr>
          <w:noProof/>
        </w:rPr>
        <w:t>3</w:t>
      </w:r>
      <w:r w:rsidR="00F16781">
        <w:fldChar w:fldCharType="end"/>
      </w:r>
      <w:r w:rsidR="00F16781">
        <w:t xml:space="preserve"> below.</w:t>
      </w:r>
    </w:p>
    <w:p w14:paraId="25607923" w14:textId="53399011" w:rsidR="00270A62" w:rsidRDefault="00DD7CE7" w:rsidP="00971603">
      <w:pPr>
        <w:keepNext/>
        <w:jc w:val="center"/>
      </w:pPr>
      <w:r>
        <w:rPr>
          <w:noProof/>
        </w:rPr>
        <w:drawing>
          <wp:inline distT="0" distB="0" distL="0" distR="0" wp14:anchorId="0B703A03" wp14:editId="0E5FC18B">
            <wp:extent cx="4987982" cy="2992902"/>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1275" cy="3000878"/>
                    </a:xfrm>
                    <a:prstGeom prst="rect">
                      <a:avLst/>
                    </a:prstGeom>
                    <a:noFill/>
                  </pic:spPr>
                </pic:pic>
              </a:graphicData>
            </a:graphic>
          </wp:inline>
        </w:drawing>
      </w:r>
    </w:p>
    <w:p w14:paraId="0113F9C7" w14:textId="081F15CC" w:rsidR="00270A62" w:rsidRDefault="00270A62" w:rsidP="00971603">
      <w:pPr>
        <w:pStyle w:val="Caption"/>
      </w:pPr>
      <w:bookmarkStart w:id="10" w:name="_Ref4772875"/>
      <w:r>
        <w:t xml:space="preserve">Figure </w:t>
      </w:r>
      <w:r>
        <w:fldChar w:fldCharType="begin"/>
      </w:r>
      <w:r>
        <w:instrText xml:space="preserve"> SEQ Figure \* ARABIC </w:instrText>
      </w:r>
      <w:r>
        <w:fldChar w:fldCharType="separate"/>
      </w:r>
      <w:r w:rsidR="00DE792D">
        <w:rPr>
          <w:noProof/>
        </w:rPr>
        <w:t>3</w:t>
      </w:r>
      <w:r>
        <w:fldChar w:fldCharType="end"/>
      </w:r>
      <w:bookmarkEnd w:id="10"/>
      <w:r>
        <w:t>: Performance of 32Tx codebook</w:t>
      </w:r>
    </w:p>
    <w:p w14:paraId="2B8914B8" w14:textId="09AFF627" w:rsidR="00D50E88" w:rsidRDefault="00D50E88" w:rsidP="00D50E88">
      <w:pPr>
        <w:pStyle w:val="Observation"/>
        <w:numPr>
          <w:ilvl w:val="0"/>
          <w:numId w:val="32"/>
        </w:numPr>
        <w:ind w:left="1701" w:hanging="1701"/>
        <w:textAlignment w:val="auto"/>
      </w:pPr>
      <w:bookmarkStart w:id="11" w:name="_Toc4763718"/>
      <w:bookmarkStart w:id="12" w:name="_Toc4774164"/>
      <w:bookmarkStart w:id="13" w:name="_Toc4774476"/>
      <w:bookmarkStart w:id="14" w:name="_Toc4777951"/>
      <w:r>
        <w:t xml:space="preserve">For 32 Tx and L=6,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=(6,</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oMath>
      <w:r>
        <w:t xml:space="preserve"> has overlapping performance/overhead with L=4.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=(6,</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oMath>
      <w:r>
        <w:t xml:space="preserve"> have slightly larger performance than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=(4,</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oMath>
      <w:r>
        <w:t xml:space="preserve">, however only the configuration </w:t>
      </w:r>
      <m:oMath>
        <m:d>
          <m:dPr>
            <m:ctrlPr>
              <w:rPr>
                <w:rFonts w:ascii="Cambria Math" w:hAnsi="Cambria Math"/>
                <w:i/>
              </w:rPr>
            </m:ctrlPr>
          </m:dPr>
          <m:e>
            <m:r>
              <m:rPr>
                <m:sty m:val="bi"/>
              </m:rPr>
              <w:rPr>
                <w:rFonts w:ascii="Cambria Math" w:hAnsi="Cambria Math"/>
              </w:rPr>
              <m:t>L,p,β</m:t>
            </m:r>
          </m:e>
        </m:d>
        <m:r>
          <m:rPr>
            <m:sty m:val="bi"/>
          </m:rPr>
          <w:rPr>
            <w:rFonts w:ascii="Cambria Math" w:hAnsi="Cambria Math"/>
          </w:rPr>
          <m:t>=(6,</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oMath>
      <w:r>
        <w:t xml:space="preserve"> result in feasible overhead (smaller overhead than Rel-15 Type II)</w:t>
      </w:r>
      <w:bookmarkEnd w:id="11"/>
      <w:bookmarkEnd w:id="12"/>
      <w:bookmarkEnd w:id="13"/>
      <w:bookmarkEnd w:id="14"/>
    </w:p>
    <w:p w14:paraId="391FD7F5" w14:textId="51996956" w:rsidR="00502E35" w:rsidRDefault="00502E35" w:rsidP="00502E35">
      <w:r>
        <w:t xml:space="preserve">That is, even though the performance/overhead trade-off is favourable for </w:t>
      </w:r>
      <m:oMath>
        <m:d>
          <m:dPr>
            <m:ctrlPr>
              <w:rPr>
                <w:rFonts w:ascii="Cambria Math" w:hAnsi="Cambria Math"/>
                <w:bCs/>
                <w:i/>
              </w:rPr>
            </m:ctrlPr>
          </m:dPr>
          <m:e>
            <m:r>
              <w:rPr>
                <w:rFonts w:ascii="Cambria Math" w:hAnsi="Cambria Math"/>
              </w:rPr>
              <m:t>L,p</m:t>
            </m:r>
          </m:e>
        </m:d>
        <m:r>
          <w:rPr>
            <w:rFonts w:ascii="Cambria Math" w:hAnsi="Cambria Math"/>
          </w:rPr>
          <m:t>=(6,</m:t>
        </m:r>
        <m:f>
          <m:fPr>
            <m:ctrlPr>
              <w:rPr>
                <w:rFonts w:ascii="Cambria Math" w:hAnsi="Cambria Math"/>
                <w:bCs/>
                <w:i/>
              </w:rPr>
            </m:ctrlPr>
          </m:fPr>
          <m:num>
            <m:r>
              <w:rPr>
                <w:rFonts w:ascii="Cambria Math" w:hAnsi="Cambria Math"/>
              </w:rPr>
              <m:t>1</m:t>
            </m:r>
          </m:num>
          <m:den>
            <m:r>
              <w:rPr>
                <w:rFonts w:ascii="Cambria Math" w:hAnsi="Cambria Math"/>
              </w:rPr>
              <m:t>2</m:t>
            </m:r>
          </m:den>
        </m:f>
        <m:r>
          <w:rPr>
            <w:rFonts w:ascii="Cambria Math" w:hAnsi="Cambria Math"/>
          </w:rPr>
          <m:t>)</m:t>
        </m:r>
      </m:oMath>
      <w:r w:rsidRPr="00502E35">
        <w:t>,</w:t>
      </w:r>
      <w:r>
        <w:t xml:space="preserve"> we note that it’s only the configuration </w:t>
      </w:r>
      <m:oMath>
        <m:d>
          <m:dPr>
            <m:ctrlPr>
              <w:rPr>
                <w:rFonts w:ascii="Cambria Math" w:hAnsi="Cambria Math"/>
                <w:i/>
              </w:rPr>
            </m:ctrlPr>
          </m:dPr>
          <m:e>
            <m:r>
              <w:rPr>
                <w:rFonts w:ascii="Cambria Math" w:hAnsi="Cambria Math"/>
              </w:rPr>
              <m:t>L,p,β</m:t>
            </m:r>
          </m:e>
        </m:d>
        <m:r>
          <w:rPr>
            <w:rFonts w:ascii="Cambria Math" w:hAnsi="Cambria Math"/>
          </w:rPr>
          <m:t>=(6,</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oMath>
      <w:r>
        <w:t xml:space="preserve"> which provides a benefit over existing L=4 configurations in the feasible overhead region (i.e. with overhead smaller than Rel-15 Type II), and the gain is only around 1%. In our view, it is not large enough to motivate introducing a new configuration. For 16 Tx, the</w:t>
      </w:r>
      <w:r w:rsidR="000551A3">
        <w:t>re is no benefit at all with L=6 compared to L=4.</w:t>
      </w:r>
    </w:p>
    <w:p w14:paraId="15ACACAC" w14:textId="755BD11E" w:rsidR="00502E35" w:rsidRDefault="00502E35" w:rsidP="00502E35">
      <w:pPr>
        <w:pStyle w:val="Proposal"/>
        <w:numPr>
          <w:ilvl w:val="0"/>
          <w:numId w:val="44"/>
        </w:numPr>
        <w:tabs>
          <w:tab w:val="clear" w:pos="1304"/>
        </w:tabs>
        <w:ind w:left="1701" w:hanging="1701"/>
        <w:textAlignment w:val="auto"/>
      </w:pPr>
      <w:bookmarkStart w:id="15" w:name="_Toc4763723"/>
      <w:bookmarkStart w:id="16" w:name="_Toc4774169"/>
      <w:bookmarkStart w:id="17" w:name="_Toc4774441"/>
      <w:bookmarkStart w:id="18" w:name="_Toc4774461"/>
      <w:bookmarkStart w:id="19" w:name="_Toc4777964"/>
      <w:r>
        <w:t xml:space="preserve">Do not support </w:t>
      </w:r>
      <w:r w:rsidR="000551A3">
        <w:t xml:space="preserve">introducing </w:t>
      </w:r>
      <w:r>
        <w:t>L=6</w:t>
      </w:r>
      <w:bookmarkEnd w:id="15"/>
      <w:r w:rsidR="000551A3">
        <w:t xml:space="preserve"> spatial beams</w:t>
      </w:r>
      <w:bookmarkEnd w:id="16"/>
      <w:bookmarkEnd w:id="17"/>
      <w:bookmarkEnd w:id="18"/>
      <w:bookmarkEnd w:id="19"/>
    </w:p>
    <w:p w14:paraId="6FDF19CC" w14:textId="77777777" w:rsidR="00502E35" w:rsidRDefault="00502E35" w:rsidP="00502E35"/>
    <w:p w14:paraId="18F0FC57" w14:textId="7481B311" w:rsidR="0082344D" w:rsidRDefault="0082344D" w:rsidP="0082344D">
      <w:pPr>
        <w:pStyle w:val="Heading1"/>
      </w:pPr>
      <w:r>
        <w:t>UCI design</w:t>
      </w:r>
    </w:p>
    <w:p w14:paraId="2EBF9182" w14:textId="3A1A3D4A" w:rsidR="00C975B9" w:rsidRPr="00C975B9" w:rsidRDefault="00C975B9" w:rsidP="00C975B9">
      <w:r>
        <w:t>In our companion contribution [2], we provide an opinion on all FFS point</w:t>
      </w:r>
      <w:r w:rsidR="004E1AB7">
        <w:t xml:space="preserve">s and proposals for UCI parameters in Part 1 and Part 2. Below, we summarize our position on </w:t>
      </w:r>
      <w:r w:rsidR="00396677">
        <w:t>encoding of number of non-zero coefficients and RI in UCI Part 1.</w:t>
      </w:r>
    </w:p>
    <w:p w14:paraId="7000C4BD" w14:textId="77777777" w:rsidR="00C975B9" w:rsidRDefault="00C975B9" w:rsidP="00C975B9">
      <w:pPr>
        <w:pStyle w:val="Heading2"/>
      </w:pPr>
      <w:r>
        <w:lastRenderedPageBreak/>
        <w:t>Number of non-zero coefficients and RI</w:t>
      </w:r>
    </w:p>
    <w:p w14:paraId="68886C69" w14:textId="77777777" w:rsidR="00C975B9" w:rsidRDefault="00C975B9" w:rsidP="00C975B9">
      <w:pPr>
        <w:pStyle w:val="BodyText"/>
      </w:pPr>
      <w:r>
        <w:t xml:space="preserve">Depending on the outcome of higher rank basis parametrization discussion, the parameter setting for the SD and FD bases, i.e. the </w:t>
      </w:r>
      <w:r>
        <w:rPr>
          <w:i/>
        </w:rPr>
        <w:t>number</w:t>
      </w:r>
      <w:r>
        <w:t xml:space="preserve"> of selected SD/FD basis vectors</w:t>
      </w:r>
      <m:oMath>
        <m:r>
          <w:rPr>
            <w:rFonts w:ascii="Cambria Math" w:hAnsi="Cambria Math"/>
          </w:rPr>
          <m:t xml:space="preserve"> 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oMath>
      <w:r>
        <w:t xml:space="preserve"> and </w:t>
      </w:r>
      <m:oMath>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t xml:space="preserve"> may in the general case be both rank-specific and layer-specific as indicated by the sub-indices </w:t>
      </w:r>
      <m:oMath>
        <m:r>
          <w:rPr>
            <w:rFonts w:ascii="Cambria Math" w:hAnsi="Cambria Math"/>
          </w:rPr>
          <m:t>(R,l)</m:t>
        </m:r>
      </m:oMath>
      <w:r>
        <w:t xml:space="preserve"> which denote the rank and layer index respectively.</w:t>
      </w:r>
    </w:p>
    <w:p w14:paraId="54B3EBC2" w14:textId="77777777" w:rsidR="00C975B9" w:rsidRDefault="00C975B9" w:rsidP="00C975B9">
      <w:pPr>
        <w:pStyle w:val="BodyText"/>
        <w:rPr>
          <w:rFonts w:eastAsia="Malgun Gothic"/>
        </w:rPr>
      </w:pPr>
      <w:r>
        <w:rPr>
          <w:rFonts w:eastAsia="Malgun Gothic"/>
        </w:rPr>
        <w:t xml:space="preserve">For each layer </w:t>
      </w:r>
      <m:oMath>
        <m:r>
          <w:rPr>
            <w:rFonts w:ascii="Cambria Math" w:eastAsia="Malgun Gothic" w:hAnsi="Cambria Math"/>
          </w:rPr>
          <m:t>l=0,…,R-1</m:t>
        </m:r>
      </m:oMath>
      <w:r>
        <w:rPr>
          <w:rFonts w:eastAsia="Malgun Gothic"/>
        </w:rPr>
        <w:t xml:space="preserve">, there are thus </w:t>
      </w:r>
      <m:oMath>
        <m:r>
          <w:rPr>
            <w:rFonts w:ascii="Cambria Math" w:eastAsia="Malgun Gothic" w:hAnsi="Cambria Math"/>
          </w:rPr>
          <m:t>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t xml:space="preserve"> possible LC coefficients in the transformed domain and it can be assumed that </w:t>
      </w:r>
      <w:r>
        <w:rPr>
          <w:rFonts w:eastAsia="Malgun Gothic"/>
        </w:rPr>
        <w:t xml:space="preserve">a number </w:t>
      </w:r>
      <m:oMath>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1</m:t>
            </m:r>
          </m:sub>
        </m:sSub>
        <m:d>
          <m:dPr>
            <m:ctrlPr>
              <w:rPr>
                <w:rFonts w:ascii="Cambria Math" w:eastAsia="Malgun Gothic" w:hAnsi="Cambria Math"/>
                <w:i/>
                <w:spacing w:val="2"/>
                <w:lang w:val="en-US" w:eastAsia="en-US"/>
              </w:rPr>
            </m:ctrlPr>
          </m:dPr>
          <m:e>
            <m:r>
              <w:rPr>
                <w:rFonts w:ascii="Cambria Math" w:eastAsia="Malgun Gothic" w:hAnsi="Cambria Math"/>
              </w:rPr>
              <m:t>l</m:t>
            </m:r>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r>
          <w:rPr>
            <w:rFonts w:ascii="Cambria Math" w:eastAsia="Malgun Gothic" w:hAnsi="Cambria Math"/>
          </w:rPr>
          <m:t>(R,l)&lt;2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rPr>
          <w:rFonts w:eastAsia="Malgun Gothic"/>
        </w:rPr>
        <w:t xml:space="preserve"> are non-zero coefficients which are reported. </w:t>
      </w:r>
    </w:p>
    <w:p w14:paraId="156855BC" w14:textId="77777777" w:rsidR="00C975B9" w:rsidRDefault="00C975B9" w:rsidP="00C975B9">
      <w:pPr>
        <w:pStyle w:val="BodyText"/>
        <w:rPr>
          <w:rFonts w:ascii="Arial" w:eastAsia="Malgun Gothic" w:hAnsi="Arial"/>
          <w:lang w:val="en-US" w:eastAsia="en-US"/>
        </w:rPr>
      </w:pPr>
      <w:r>
        <w:rPr>
          <w:rFonts w:eastAsia="Malgun Gothic"/>
        </w:rPr>
        <w:t xml:space="preserve">According to the agreement, </w:t>
      </w:r>
      <m:oMath>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1</m:t>
            </m:r>
          </m:sub>
        </m:sSub>
        <m:d>
          <m:dPr>
            <m:ctrlPr>
              <w:rPr>
                <w:rFonts w:ascii="Cambria Math" w:eastAsia="Malgun Gothic" w:hAnsi="Cambria Math"/>
                <w:i/>
                <w:spacing w:val="2"/>
                <w:lang w:val="en-US" w:eastAsia="en-US"/>
              </w:rPr>
            </m:ctrlPr>
          </m:dPr>
          <m:e>
            <m:r>
              <w:rPr>
                <w:rFonts w:ascii="Cambria Math" w:eastAsia="Malgun Gothic" w:hAnsi="Cambria Math"/>
              </w:rPr>
              <m:t>l</m:t>
            </m:r>
          </m:e>
        </m:d>
      </m:oMath>
      <w:r>
        <w:rPr>
          <w:rFonts w:eastAsia="Malgun Gothic"/>
          <w:lang w:val="en-US"/>
        </w:rPr>
        <w:t xml:space="preserve"> </w:t>
      </w:r>
      <w:r>
        <w:rPr>
          <w:rFonts w:eastAsia="Malgun Gothic"/>
        </w:rPr>
        <w:t xml:space="preserve">for </w:t>
      </w:r>
      <m:oMath>
        <m:r>
          <w:rPr>
            <w:rFonts w:ascii="Cambria Math" w:eastAsia="Malgun Gothic" w:hAnsi="Cambria Math"/>
          </w:rPr>
          <m:t>l=0,…,R-1</m:t>
        </m:r>
      </m:oMath>
      <w:r>
        <w:rPr>
          <w:rFonts w:eastAsia="Malgun Gothic"/>
        </w:rPr>
        <w:t xml:space="preserve"> should be conveyed in UCI Part 1, however there are different approaches as to how this can be achieved.</w:t>
      </w:r>
    </w:p>
    <w:p w14:paraId="5EADC21F" w14:textId="77777777" w:rsidR="00C975B9" w:rsidRDefault="00C975B9" w:rsidP="00C975B9">
      <w:pPr>
        <w:pStyle w:val="BodyText"/>
        <w:rPr>
          <w:b/>
          <w:i/>
        </w:rPr>
      </w:pPr>
      <w:r>
        <w:rPr>
          <w:b/>
          <w:i/>
          <w:lang w:val="en-US"/>
        </w:rPr>
        <w:t xml:space="preserve">Approach 1: </w:t>
      </w:r>
      <w:r>
        <w:rPr>
          <w:b/>
          <w:i/>
        </w:rPr>
        <w:t>Per layer number of non-zero coefficient indication</w:t>
      </w:r>
    </w:p>
    <w:p w14:paraId="4AFCFB46" w14:textId="67C8DD42" w:rsidR="00C975B9" w:rsidRDefault="00C975B9" w:rsidP="00C975B9">
      <w:pPr>
        <w:pStyle w:val="BodyText"/>
      </w:pPr>
      <w:r>
        <w:t xml:space="preserve">In this approach, the number of non-zero coefficients (NNZC) for each layer </w:t>
      </w:r>
      <m:oMath>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1</m:t>
            </m:r>
          </m:sub>
        </m:sSub>
        <m:d>
          <m:dPr>
            <m:ctrlPr>
              <w:rPr>
                <w:rFonts w:ascii="Cambria Math" w:eastAsia="Malgun Gothic" w:hAnsi="Cambria Math"/>
                <w:i/>
                <w:spacing w:val="2"/>
                <w:lang w:val="en-US" w:eastAsia="en-US"/>
              </w:rPr>
            </m:ctrlPr>
          </m:dPr>
          <m:e>
            <m:r>
              <w:rPr>
                <w:rFonts w:ascii="Cambria Math" w:eastAsia="Malgun Gothic" w:hAnsi="Cambria Math"/>
              </w:rPr>
              <m:t>l</m:t>
            </m:r>
          </m:e>
        </m:d>
      </m:oMath>
      <w:r>
        <w:t xml:space="preserve"> is indicated with a layer-wise separate indicator in UCI Part 1. Since the rank selection of the UE is not known to the gNB prior to decoding </w:t>
      </w:r>
      <w:r w:rsidR="00971603">
        <w:t>UCI</w:t>
      </w:r>
      <w:r>
        <w:t xml:space="preserve"> Part 1, the UCI Part 1 payload needs to be rank-independent. In the general case (pending the higher rank codebook agreements), </w:t>
      </w:r>
      <m:oMath>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d>
          <m:dPr>
            <m:ctrlPr>
              <w:rPr>
                <w:rFonts w:ascii="Cambria Math" w:hAnsi="Cambria Math"/>
                <w:i/>
                <w:spacing w:val="2"/>
                <w:lang w:val="en-US" w:eastAsia="en-US"/>
              </w:rPr>
            </m:ctrlPr>
          </m:dPr>
          <m:e>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i</m:t>
                </m:r>
              </m:sub>
            </m:sSub>
            <m:r>
              <w:rPr>
                <w:rFonts w:ascii="Cambria Math" w:hAnsi="Cambria Math"/>
              </w:rPr>
              <m:t>,l</m:t>
            </m:r>
          </m:e>
        </m:d>
        <m:r>
          <w:rPr>
            <w:rFonts w:ascii="Cambria Math" w:hAnsi="Cambria Math"/>
          </w:rPr>
          <m:t>≠</m:t>
        </m:r>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d>
          <m:dPr>
            <m:ctrlPr>
              <w:rPr>
                <w:rFonts w:ascii="Cambria Math" w:hAnsi="Cambria Math"/>
                <w:i/>
                <w:spacing w:val="2"/>
                <w:lang w:val="en-US" w:eastAsia="en-US"/>
              </w:rPr>
            </m:ctrlPr>
          </m:dPr>
          <m:e>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j</m:t>
                </m:r>
              </m:sub>
            </m:sSub>
            <m:r>
              <w:rPr>
                <w:rFonts w:ascii="Cambria Math" w:hAnsi="Cambria Math"/>
              </w:rPr>
              <m:t>,l</m:t>
            </m:r>
          </m:e>
        </m:d>
      </m:oMath>
      <w:r>
        <w:t xml:space="preserve"> and the maximum NNZC for a layer may be rank-dependent.</w:t>
      </w:r>
    </w:p>
    <w:p w14:paraId="6640885D" w14:textId="487942BE" w:rsidR="00C975B9" w:rsidRDefault="00C975B9" w:rsidP="00C975B9">
      <w:pPr>
        <w:pStyle w:val="BodyText"/>
      </w:pPr>
      <w:r>
        <w:t xml:space="preserve">In this case, the indication of the NNZCs may have the bitwidth </w:t>
      </w:r>
      <m:oMath>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e>
                      <m:lim>
                        <m:r>
                          <w:rPr>
                            <w:rFonts w:ascii="Cambria Math" w:hAnsi="Cambria Math"/>
                          </w:rPr>
                          <m:t>R</m:t>
                        </m:r>
                      </m:lim>
                    </m:limLow>
                  </m:fName>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e>
                </m:func>
              </m:e>
            </m:func>
          </m:e>
        </m:d>
      </m:oMath>
      <w:r>
        <w:t xml:space="preserve">, i.e. it is set according to the maximum configured </w:t>
      </w:r>
      <m:oMath>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oMath>
      <w:r>
        <w:t xml:space="preserve"> value across the rank hypotheses. This enables the </w:t>
      </w:r>
      <w:r w:rsidR="00971603">
        <w:t>UCI</w:t>
      </w:r>
      <w:r>
        <w:t xml:space="preserve"> Part 1 payload to be constant irrespective of UE</w:t>
      </w:r>
      <w:r w:rsidR="00971603">
        <w:t>’</w:t>
      </w:r>
      <w:r>
        <w:t xml:space="preserve">s rank selection. The indicator of the NNZC is reported for each layer </w:t>
      </w:r>
      <m:oMath>
        <m:r>
          <w:rPr>
            <w:rFonts w:ascii="Cambria Math" w:hAnsi="Cambria Math"/>
          </w:rPr>
          <m:t>l=0,…,</m:t>
        </m:r>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max</m:t>
            </m:r>
          </m:sub>
        </m:sSub>
        <m:r>
          <w:rPr>
            <w:rFonts w:ascii="Cambria Math" w:hAnsi="Cambria Math"/>
          </w:rPr>
          <m:t>-1</m:t>
        </m:r>
      </m:oMath>
      <w:r>
        <w:t xml:space="preserve"> where </w:t>
      </w:r>
      <m:oMath>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max</m:t>
            </m:r>
          </m:sub>
        </m:sSub>
        <m:r>
          <w:rPr>
            <w:rFonts w:ascii="Cambria Math" w:hAnsi="Cambria Math"/>
            <w:lang w:val="en-US"/>
          </w:rPr>
          <m:t xml:space="preserve"> </m:t>
        </m:r>
      </m:oMath>
      <w:r>
        <w:t xml:space="preserve">is the maximum rank a UE can report. For </w:t>
      </w:r>
      <m:oMath>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max</m:t>
            </m:r>
          </m:sub>
        </m:sSub>
        <m:r>
          <w:rPr>
            <w:rFonts w:ascii="Cambria Math" w:hAnsi="Cambria Math"/>
          </w:rPr>
          <m:t>=4</m:t>
        </m:r>
      </m:oMath>
      <w:r>
        <w:t xml:space="preserve">, the payload is thus </w:t>
      </w:r>
      <m:oMath>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3</m:t>
            </m:r>
          </m:sup>
          <m:e>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e>
                          <m:lim>
                            <m:r>
                              <w:rPr>
                                <w:rFonts w:ascii="Cambria Math" w:hAnsi="Cambria Math"/>
                              </w:rPr>
                              <m:t>R</m:t>
                            </m:r>
                          </m:lim>
                        </m:limLow>
                      </m:fName>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e>
                    </m:func>
                  </m:e>
                </m:func>
              </m:e>
            </m:d>
          </m:e>
        </m:nary>
      </m:oMath>
      <w:r>
        <w:t>. The maximum rank would depend on which codebook is used (i.e. rank 3,4 codebooks ON or OFF) and the RI restriction.</w:t>
      </w:r>
    </w:p>
    <w:p w14:paraId="54BC531E" w14:textId="77777777" w:rsidR="00C975B9" w:rsidRDefault="00C975B9" w:rsidP="00C975B9">
      <w:pPr>
        <w:pStyle w:val="BodyText"/>
        <w:rPr>
          <w:spacing w:val="2"/>
          <w:lang w:val="en-US" w:eastAsia="en-US"/>
        </w:rPr>
      </w:pPr>
      <w:r>
        <w:t xml:space="preserve">Here, it is assumed that at least one coefficient is non-zero for each layer and hence only the value range </w:t>
      </w:r>
      <m:oMath>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1</m:t>
            </m:r>
          </m:sub>
        </m:sSub>
        <m:r>
          <w:rPr>
            <w:rFonts w:ascii="Cambria Math" w:hAnsi="Cambria Math"/>
          </w:rPr>
          <m:t>=1,…,</m:t>
        </m:r>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oMath>
      <w:r>
        <w:t xml:space="preserve"> needs to be signalled, otherwise the payload would be </w:t>
      </w:r>
      <m:oMath>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r>
                  <w:rPr>
                    <w:rFonts w:ascii="Cambria Math" w:hAnsi="Cambria Math"/>
                    <w:spacing w:val="2"/>
                    <w:lang w:val="en-US" w:eastAsia="en-US"/>
                  </w:rPr>
                  <m:t>(1+</m:t>
                </m:r>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e>
                      <m:lim>
                        <m:r>
                          <w:rPr>
                            <w:rFonts w:ascii="Cambria Math" w:hAnsi="Cambria Math"/>
                          </w:rPr>
                          <m:t>R</m:t>
                        </m:r>
                      </m:lim>
                    </m:limLow>
                  </m:fName>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r>
                      <w:rPr>
                        <w:rFonts w:ascii="Cambria Math" w:eastAsia="Malgun Gothic" w:hAnsi="Cambria Math"/>
                        <w:spacing w:val="2"/>
                        <w:lang w:val="en-US" w:eastAsia="en-US"/>
                      </w:rPr>
                      <m:t>)</m:t>
                    </m:r>
                  </m:e>
                </m:func>
              </m:e>
            </m:func>
          </m:e>
        </m:d>
      </m:oMath>
      <w:r>
        <w:rPr>
          <w:spacing w:val="2"/>
          <w:lang w:val="en-US" w:eastAsia="en-US"/>
        </w:rPr>
        <w:t>.</w:t>
      </w:r>
    </w:p>
    <w:p w14:paraId="57CD7EFD" w14:textId="77777777" w:rsidR="00C975B9" w:rsidRDefault="00C975B9" w:rsidP="00C975B9">
      <w:pPr>
        <w:pStyle w:val="Observation"/>
        <w:numPr>
          <w:ilvl w:val="0"/>
          <w:numId w:val="32"/>
        </w:numPr>
        <w:ind w:left="1701" w:hanging="1701"/>
        <w:textAlignment w:val="auto"/>
        <w:rPr>
          <w:lang w:val="en-US" w:eastAsia="en-US"/>
        </w:rPr>
      </w:pPr>
      <w:bookmarkStart w:id="20" w:name="_Toc4774084"/>
      <w:bookmarkStart w:id="21" w:name="_Toc4777952"/>
      <w:r>
        <w:rPr>
          <w:lang w:val="en-US" w:eastAsia="en-US"/>
        </w:rPr>
        <w:t>The encoding of NNZC indicators must be rank-independent as UCI Part 1 payload is fixed</w:t>
      </w:r>
      <w:bookmarkEnd w:id="20"/>
      <w:bookmarkEnd w:id="21"/>
    </w:p>
    <w:p w14:paraId="018D88A1" w14:textId="4548D799" w:rsidR="00C975B9" w:rsidRDefault="00C975B9" w:rsidP="00C975B9">
      <w:pPr>
        <w:pStyle w:val="BodyText"/>
      </w:pPr>
      <w:r>
        <w:t xml:space="preserve">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=0 </m:t>
        </m:r>
      </m:oMath>
      <w:r>
        <w:t>is included in the value range, a separate RI indication would not be needed an instead the RI could b</w:t>
      </w:r>
      <w:r w:rsidR="00971603">
        <w:t>e</w:t>
      </w:r>
      <w:r>
        <w:t xml:space="preserve"> determined implicitly be observing which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values are set to zero. However, in our view it is clearer to include the RI as an independent parameter. </w:t>
      </w:r>
    </w:p>
    <w:p w14:paraId="2DBF3E5D" w14:textId="77777777" w:rsidR="00C975B9" w:rsidRDefault="00C975B9" w:rsidP="00C975B9">
      <w:pPr>
        <w:pStyle w:val="BodyText"/>
      </w:pPr>
      <w:r>
        <w:t>The RI could either be independently encoded or jointly encoded with the NNZCIs. A toy example of joint encoding is given in Table 3 below.</w:t>
      </w:r>
    </w:p>
    <w:p w14:paraId="1CC84044" w14:textId="0B19C12C" w:rsidR="00C975B9" w:rsidRDefault="00C975B9" w:rsidP="00C975B9">
      <w:pPr>
        <w:pStyle w:val="Caption"/>
        <w:keepNext/>
      </w:pPr>
      <w:r>
        <w:t xml:space="preserve">Table </w:t>
      </w:r>
      <w:r>
        <w:rPr>
          <w:noProof/>
        </w:rPr>
        <w:fldChar w:fldCharType="begin"/>
      </w:r>
      <w:r>
        <w:rPr>
          <w:noProof/>
        </w:rPr>
        <w:instrText xml:space="preserve"> SEQ Table \* ARABIC </w:instrText>
      </w:r>
      <w:r>
        <w:rPr>
          <w:noProof/>
        </w:rPr>
        <w:fldChar w:fldCharType="separate"/>
      </w:r>
      <w:r w:rsidR="00DE792D">
        <w:rPr>
          <w:noProof/>
        </w:rPr>
        <w:t>2</w:t>
      </w:r>
      <w:r>
        <w:rPr>
          <w:noProof/>
        </w:rPr>
        <w:fldChar w:fldCharType="end"/>
      </w:r>
      <w:r>
        <w:t>: Example of joint encoding of RI and NNZCI per layer</w:t>
      </w:r>
    </w:p>
    <w:tbl>
      <w:tblPr>
        <w:tblStyle w:val="TableGrid"/>
        <w:tblW w:w="0" w:type="auto"/>
        <w:jc w:val="center"/>
        <w:tblLook w:val="04A0" w:firstRow="1" w:lastRow="0" w:firstColumn="1" w:lastColumn="0" w:noHBand="0" w:noVBand="1"/>
      </w:tblPr>
      <w:tblGrid>
        <w:gridCol w:w="1111"/>
        <w:gridCol w:w="416"/>
        <w:gridCol w:w="866"/>
        <w:gridCol w:w="866"/>
      </w:tblGrid>
      <w:tr w:rsidR="00C975B9" w14:paraId="24718682"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495644CF" w14:textId="77777777" w:rsidR="00C975B9" w:rsidRDefault="00C975B9">
            <w:pPr>
              <w:pStyle w:val="BodyText"/>
            </w:pPr>
            <w:r>
              <w:t>Joint Index</w:t>
            </w:r>
          </w:p>
        </w:tc>
        <w:tc>
          <w:tcPr>
            <w:tcW w:w="0" w:type="auto"/>
            <w:tcBorders>
              <w:top w:val="single" w:sz="4" w:space="0" w:color="auto"/>
              <w:left w:val="single" w:sz="4" w:space="0" w:color="auto"/>
              <w:bottom w:val="single" w:sz="4" w:space="0" w:color="auto"/>
              <w:right w:val="single" w:sz="4" w:space="0" w:color="auto"/>
            </w:tcBorders>
            <w:hideMark/>
          </w:tcPr>
          <w:p w14:paraId="0D9AA211" w14:textId="77777777" w:rsidR="00C975B9" w:rsidRDefault="00C975B9">
            <w:pPr>
              <w:pStyle w:val="BodyText"/>
            </w:pPr>
            <w:r>
              <w:t>RI</w:t>
            </w:r>
          </w:p>
        </w:tc>
        <w:tc>
          <w:tcPr>
            <w:tcW w:w="0" w:type="auto"/>
            <w:tcBorders>
              <w:top w:val="single" w:sz="4" w:space="0" w:color="auto"/>
              <w:left w:val="single" w:sz="4" w:space="0" w:color="auto"/>
              <w:bottom w:val="single" w:sz="4" w:space="0" w:color="auto"/>
              <w:right w:val="single" w:sz="4" w:space="0" w:color="auto"/>
            </w:tcBorders>
            <w:hideMark/>
          </w:tcPr>
          <w:p w14:paraId="00480E57" w14:textId="77777777" w:rsidR="00C975B9" w:rsidRDefault="00B85FD6">
            <w:pPr>
              <w:pStyle w:val="BodyText"/>
            </w:pPr>
            <m:oMathPara>
              <m:oMath>
                <m:sSub>
                  <m:sSubPr>
                    <m:ctrlPr>
                      <w:rPr>
                        <w:rFonts w:ascii="Cambria Math" w:hAnsi="Cambria Math"/>
                        <w:spacing w:val="2"/>
                        <w:lang w:val="en-US" w:eastAsia="en-US"/>
                      </w:rPr>
                    </m:ctrlPr>
                  </m:sSubPr>
                  <m:e>
                    <m:r>
                      <m:rPr>
                        <m:sty m:val="p"/>
                      </m:rPr>
                      <w:rPr>
                        <w:rFonts w:ascii="Cambria Math" w:hAnsi="Cambria Math"/>
                      </w:rPr>
                      <m:t>NNZCI</m:t>
                    </m:r>
                  </m:e>
                  <m:sub>
                    <m:r>
                      <m:rPr>
                        <m:sty m:val="bi"/>
                      </m:rPr>
                      <w:rPr>
                        <w:rFonts w:ascii="Cambria Math" w:hAnsi="Cambria Math"/>
                      </w:rPr>
                      <m:t>0</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675AE0DE" w14:textId="77777777" w:rsidR="00C975B9" w:rsidRDefault="00B85FD6">
            <w:pPr>
              <w:pStyle w:val="BodyText"/>
            </w:pPr>
            <m:oMathPara>
              <m:oMath>
                <m:sSub>
                  <m:sSubPr>
                    <m:ctrlPr>
                      <w:rPr>
                        <w:rFonts w:ascii="Cambria Math" w:hAnsi="Cambria Math"/>
                        <w:spacing w:val="2"/>
                        <w:lang w:val="en-US" w:eastAsia="en-US"/>
                      </w:rPr>
                    </m:ctrlPr>
                  </m:sSubPr>
                  <m:e>
                    <m:r>
                      <m:rPr>
                        <m:sty m:val="p"/>
                      </m:rPr>
                      <w:rPr>
                        <w:rFonts w:ascii="Cambria Math" w:hAnsi="Cambria Math"/>
                      </w:rPr>
                      <m:t>NNZCI</m:t>
                    </m:r>
                  </m:e>
                  <m:sub>
                    <m:r>
                      <m:rPr>
                        <m:sty m:val="bi"/>
                      </m:rPr>
                      <w:rPr>
                        <w:rFonts w:ascii="Cambria Math" w:hAnsi="Cambria Math"/>
                      </w:rPr>
                      <m:t>1</m:t>
                    </m:r>
                  </m:sub>
                </m:sSub>
              </m:oMath>
            </m:oMathPara>
          </w:p>
        </w:tc>
      </w:tr>
      <w:tr w:rsidR="00C975B9" w14:paraId="64A75890"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3241F3A2" w14:textId="77777777" w:rsidR="00C975B9" w:rsidRDefault="00C975B9">
            <w:pPr>
              <w:pStyle w:val="BodyText"/>
            </w:pPr>
            <w:r>
              <w:t>0</w:t>
            </w:r>
          </w:p>
        </w:tc>
        <w:tc>
          <w:tcPr>
            <w:tcW w:w="0" w:type="auto"/>
            <w:tcBorders>
              <w:top w:val="single" w:sz="4" w:space="0" w:color="auto"/>
              <w:left w:val="single" w:sz="4" w:space="0" w:color="auto"/>
              <w:bottom w:val="single" w:sz="4" w:space="0" w:color="auto"/>
              <w:right w:val="single" w:sz="4" w:space="0" w:color="auto"/>
            </w:tcBorders>
            <w:hideMark/>
          </w:tcPr>
          <w:p w14:paraId="272C4F7E"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69F24CBE"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0F77092A" w14:textId="77777777" w:rsidR="00C975B9" w:rsidRDefault="00C975B9">
            <w:pPr>
              <w:pStyle w:val="BodyText"/>
            </w:pPr>
            <w:r>
              <w:t>N/A</w:t>
            </w:r>
          </w:p>
        </w:tc>
      </w:tr>
      <w:tr w:rsidR="00C975B9" w14:paraId="4A3ADA57"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02FD7105"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4FE58516"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332F86A5"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414D36C4" w14:textId="77777777" w:rsidR="00C975B9" w:rsidRDefault="00C975B9">
            <w:pPr>
              <w:pStyle w:val="BodyText"/>
            </w:pPr>
            <w:r>
              <w:t>N/A</w:t>
            </w:r>
          </w:p>
        </w:tc>
      </w:tr>
      <w:tr w:rsidR="00C975B9" w14:paraId="31CE9E13"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4ED70CFA"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2B19B6B4"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1482CFBD" w14:textId="77777777" w:rsidR="00C975B9" w:rsidRDefault="00C975B9">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79684FE9" w14:textId="77777777" w:rsidR="00C975B9" w:rsidRDefault="00C975B9">
            <w:pPr>
              <w:pStyle w:val="BodyText"/>
            </w:pPr>
            <w:r>
              <w:t>N/A</w:t>
            </w:r>
          </w:p>
        </w:tc>
      </w:tr>
      <w:tr w:rsidR="00C975B9" w14:paraId="7E81EA5A"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5E92FF44" w14:textId="77777777" w:rsidR="00C975B9" w:rsidRDefault="00C975B9">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4857AEAA"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66D49D3A"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05A0A260" w14:textId="77777777" w:rsidR="00C975B9" w:rsidRDefault="00C975B9">
            <w:pPr>
              <w:pStyle w:val="BodyText"/>
            </w:pPr>
            <w:r>
              <w:t>1</w:t>
            </w:r>
          </w:p>
        </w:tc>
      </w:tr>
      <w:tr w:rsidR="00C975B9" w14:paraId="05F94838"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590888B6" w14:textId="77777777" w:rsidR="00C975B9" w:rsidRDefault="00C975B9">
            <w:pPr>
              <w:pStyle w:val="BodyText"/>
            </w:pPr>
            <w:r>
              <w:t>4</w:t>
            </w:r>
          </w:p>
        </w:tc>
        <w:tc>
          <w:tcPr>
            <w:tcW w:w="0" w:type="auto"/>
            <w:tcBorders>
              <w:top w:val="single" w:sz="4" w:space="0" w:color="auto"/>
              <w:left w:val="single" w:sz="4" w:space="0" w:color="auto"/>
              <w:bottom w:val="single" w:sz="4" w:space="0" w:color="auto"/>
              <w:right w:val="single" w:sz="4" w:space="0" w:color="auto"/>
            </w:tcBorders>
            <w:hideMark/>
          </w:tcPr>
          <w:p w14:paraId="37719E6F"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1CD7ECE1"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22A74470" w14:textId="77777777" w:rsidR="00C975B9" w:rsidRDefault="00C975B9">
            <w:pPr>
              <w:pStyle w:val="BodyText"/>
            </w:pPr>
            <w:r>
              <w:t>2</w:t>
            </w:r>
          </w:p>
        </w:tc>
      </w:tr>
      <w:tr w:rsidR="00C975B9" w14:paraId="133248DC"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4754436A" w14:textId="77777777" w:rsidR="00C975B9" w:rsidRDefault="00C975B9">
            <w:pPr>
              <w:pStyle w:val="BodyText"/>
            </w:pPr>
            <w:r>
              <w:t>5</w:t>
            </w:r>
          </w:p>
        </w:tc>
        <w:tc>
          <w:tcPr>
            <w:tcW w:w="0" w:type="auto"/>
            <w:tcBorders>
              <w:top w:val="single" w:sz="4" w:space="0" w:color="auto"/>
              <w:left w:val="single" w:sz="4" w:space="0" w:color="auto"/>
              <w:bottom w:val="single" w:sz="4" w:space="0" w:color="auto"/>
              <w:right w:val="single" w:sz="4" w:space="0" w:color="auto"/>
            </w:tcBorders>
            <w:hideMark/>
          </w:tcPr>
          <w:p w14:paraId="06AB26C2"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6EFA8D82"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1D139470" w14:textId="77777777" w:rsidR="00C975B9" w:rsidRDefault="00C975B9">
            <w:pPr>
              <w:pStyle w:val="BodyText"/>
            </w:pPr>
            <w:r>
              <w:t>3</w:t>
            </w:r>
          </w:p>
        </w:tc>
      </w:tr>
      <w:tr w:rsidR="00C975B9" w14:paraId="1EE28509"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0B21CDEE" w14:textId="77777777" w:rsidR="00C975B9" w:rsidRDefault="00C975B9">
            <w:pPr>
              <w:pStyle w:val="BodyText"/>
            </w:pPr>
            <w:r>
              <w:t>6</w:t>
            </w:r>
          </w:p>
        </w:tc>
        <w:tc>
          <w:tcPr>
            <w:tcW w:w="0" w:type="auto"/>
            <w:tcBorders>
              <w:top w:val="single" w:sz="4" w:space="0" w:color="auto"/>
              <w:left w:val="single" w:sz="4" w:space="0" w:color="auto"/>
              <w:bottom w:val="single" w:sz="4" w:space="0" w:color="auto"/>
              <w:right w:val="single" w:sz="4" w:space="0" w:color="auto"/>
            </w:tcBorders>
            <w:hideMark/>
          </w:tcPr>
          <w:p w14:paraId="2AE5EB2B"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517BA3F1"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0F4D2DCB" w14:textId="77777777" w:rsidR="00C975B9" w:rsidRDefault="00C975B9">
            <w:pPr>
              <w:pStyle w:val="BodyText"/>
            </w:pPr>
            <w:r>
              <w:t>1</w:t>
            </w:r>
          </w:p>
        </w:tc>
      </w:tr>
      <w:tr w:rsidR="00C975B9" w14:paraId="515BCEC6"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73167E43" w14:textId="77777777" w:rsidR="00C975B9" w:rsidRDefault="00C975B9">
            <w:pPr>
              <w:pStyle w:val="BodyText"/>
            </w:pPr>
            <w:r>
              <w:t>7</w:t>
            </w:r>
          </w:p>
        </w:tc>
        <w:tc>
          <w:tcPr>
            <w:tcW w:w="0" w:type="auto"/>
            <w:tcBorders>
              <w:top w:val="single" w:sz="4" w:space="0" w:color="auto"/>
              <w:left w:val="single" w:sz="4" w:space="0" w:color="auto"/>
              <w:bottom w:val="single" w:sz="4" w:space="0" w:color="auto"/>
              <w:right w:val="single" w:sz="4" w:space="0" w:color="auto"/>
            </w:tcBorders>
            <w:hideMark/>
          </w:tcPr>
          <w:p w14:paraId="40F6C1EE"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557AAF63"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5EA74054" w14:textId="77777777" w:rsidR="00C975B9" w:rsidRDefault="00C975B9">
            <w:pPr>
              <w:pStyle w:val="BodyText"/>
            </w:pPr>
            <w:r>
              <w:t>2</w:t>
            </w:r>
          </w:p>
        </w:tc>
      </w:tr>
      <w:tr w:rsidR="00C975B9" w14:paraId="4FC92944"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4A187039" w14:textId="77777777" w:rsidR="00C975B9" w:rsidRDefault="00C975B9">
            <w:pPr>
              <w:pStyle w:val="BodyText"/>
            </w:pPr>
            <w:r>
              <w:t>8</w:t>
            </w:r>
          </w:p>
        </w:tc>
        <w:tc>
          <w:tcPr>
            <w:tcW w:w="0" w:type="auto"/>
            <w:tcBorders>
              <w:top w:val="single" w:sz="4" w:space="0" w:color="auto"/>
              <w:left w:val="single" w:sz="4" w:space="0" w:color="auto"/>
              <w:bottom w:val="single" w:sz="4" w:space="0" w:color="auto"/>
              <w:right w:val="single" w:sz="4" w:space="0" w:color="auto"/>
            </w:tcBorders>
            <w:hideMark/>
          </w:tcPr>
          <w:p w14:paraId="269622EF"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68C6F7B3"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341975CE" w14:textId="77777777" w:rsidR="00C975B9" w:rsidRDefault="00C975B9">
            <w:pPr>
              <w:pStyle w:val="BodyText"/>
            </w:pPr>
            <w:r>
              <w:t>3</w:t>
            </w:r>
          </w:p>
        </w:tc>
      </w:tr>
      <w:tr w:rsidR="00C975B9" w14:paraId="0EA8FD97"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7340EFD7" w14:textId="77777777" w:rsidR="00C975B9" w:rsidRDefault="00C975B9">
            <w:pPr>
              <w:pStyle w:val="BodyText"/>
            </w:pPr>
            <w:r>
              <w:t>9</w:t>
            </w:r>
          </w:p>
        </w:tc>
        <w:tc>
          <w:tcPr>
            <w:tcW w:w="0" w:type="auto"/>
            <w:tcBorders>
              <w:top w:val="single" w:sz="4" w:space="0" w:color="auto"/>
              <w:left w:val="single" w:sz="4" w:space="0" w:color="auto"/>
              <w:bottom w:val="single" w:sz="4" w:space="0" w:color="auto"/>
              <w:right w:val="single" w:sz="4" w:space="0" w:color="auto"/>
            </w:tcBorders>
            <w:hideMark/>
          </w:tcPr>
          <w:p w14:paraId="1D3DF8A7"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6D78E7B8" w14:textId="77777777" w:rsidR="00C975B9" w:rsidRDefault="00C975B9">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525E81DE" w14:textId="77777777" w:rsidR="00C975B9" w:rsidRDefault="00C975B9">
            <w:pPr>
              <w:pStyle w:val="BodyText"/>
            </w:pPr>
            <w:r>
              <w:t>1</w:t>
            </w:r>
          </w:p>
        </w:tc>
      </w:tr>
      <w:tr w:rsidR="00C975B9" w14:paraId="1FA1E51C"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04153877" w14:textId="77777777" w:rsidR="00C975B9" w:rsidRDefault="00C975B9">
            <w:pPr>
              <w:pStyle w:val="BodyText"/>
            </w:pPr>
            <w:r>
              <w:t>10</w:t>
            </w:r>
          </w:p>
        </w:tc>
        <w:tc>
          <w:tcPr>
            <w:tcW w:w="0" w:type="auto"/>
            <w:tcBorders>
              <w:top w:val="single" w:sz="4" w:space="0" w:color="auto"/>
              <w:left w:val="single" w:sz="4" w:space="0" w:color="auto"/>
              <w:bottom w:val="single" w:sz="4" w:space="0" w:color="auto"/>
              <w:right w:val="single" w:sz="4" w:space="0" w:color="auto"/>
            </w:tcBorders>
            <w:hideMark/>
          </w:tcPr>
          <w:p w14:paraId="3D23DFF5"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245392B9" w14:textId="77777777" w:rsidR="00C975B9" w:rsidRDefault="00C975B9">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35307915" w14:textId="77777777" w:rsidR="00C975B9" w:rsidRDefault="00C975B9">
            <w:pPr>
              <w:pStyle w:val="BodyText"/>
            </w:pPr>
            <w:r>
              <w:t>2</w:t>
            </w:r>
          </w:p>
        </w:tc>
      </w:tr>
      <w:tr w:rsidR="00C975B9" w14:paraId="3D7FD46E"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20DF2BC8" w14:textId="77777777" w:rsidR="00C975B9" w:rsidRDefault="00C975B9">
            <w:pPr>
              <w:pStyle w:val="BodyText"/>
            </w:pPr>
            <w:r>
              <w:lastRenderedPageBreak/>
              <w:t>11</w:t>
            </w:r>
          </w:p>
        </w:tc>
        <w:tc>
          <w:tcPr>
            <w:tcW w:w="0" w:type="auto"/>
            <w:tcBorders>
              <w:top w:val="single" w:sz="4" w:space="0" w:color="auto"/>
              <w:left w:val="single" w:sz="4" w:space="0" w:color="auto"/>
              <w:bottom w:val="single" w:sz="4" w:space="0" w:color="auto"/>
              <w:right w:val="single" w:sz="4" w:space="0" w:color="auto"/>
            </w:tcBorders>
            <w:hideMark/>
          </w:tcPr>
          <w:p w14:paraId="2C9F4B82"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76208860" w14:textId="77777777" w:rsidR="00C975B9" w:rsidRDefault="00C975B9">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591CB605" w14:textId="77777777" w:rsidR="00C975B9" w:rsidRDefault="00C975B9">
            <w:pPr>
              <w:pStyle w:val="BodyText"/>
            </w:pPr>
            <w:r>
              <w:t>3</w:t>
            </w:r>
          </w:p>
        </w:tc>
      </w:tr>
      <w:tr w:rsidR="00C975B9" w14:paraId="03175FD3"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6C05480A" w14:textId="77777777" w:rsidR="00C975B9" w:rsidRDefault="00C975B9">
            <w:pPr>
              <w:pStyle w:val="BodyText"/>
            </w:pPr>
            <w:r>
              <w:t>12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21A99DCC" w14:textId="77777777" w:rsidR="00C975B9" w:rsidRDefault="00C975B9">
            <w:pPr>
              <w:pStyle w:val="BodyText"/>
              <w:jc w:val="center"/>
            </w:pPr>
            <w:r>
              <w:t>Reserved</w:t>
            </w:r>
          </w:p>
        </w:tc>
      </w:tr>
      <w:tr w:rsidR="00C975B9" w14:paraId="5F391A2B"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32C3C46C" w14:textId="77777777" w:rsidR="00C975B9" w:rsidRDefault="00C975B9">
            <w:pPr>
              <w:pStyle w:val="BodyText"/>
            </w:pPr>
            <w:r>
              <w:t>13</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532181" w14:textId="77777777" w:rsidR="00C975B9" w:rsidRDefault="00C975B9">
            <w:pPr>
              <w:overflowPunct/>
              <w:autoSpaceDE/>
              <w:autoSpaceDN/>
              <w:adjustRightInd/>
              <w:spacing w:after="0"/>
              <w:jc w:val="left"/>
            </w:pPr>
          </w:p>
        </w:tc>
      </w:tr>
      <w:tr w:rsidR="00C975B9" w14:paraId="4E0A66AB"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2CADC854" w14:textId="77777777" w:rsidR="00C975B9" w:rsidRDefault="00C975B9">
            <w:pPr>
              <w:pStyle w:val="BodyText"/>
            </w:pPr>
            <w:r>
              <w:t>14</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EAF6CA" w14:textId="77777777" w:rsidR="00C975B9" w:rsidRDefault="00C975B9">
            <w:pPr>
              <w:overflowPunct/>
              <w:autoSpaceDE/>
              <w:autoSpaceDN/>
              <w:adjustRightInd/>
              <w:spacing w:after="0"/>
              <w:jc w:val="left"/>
            </w:pPr>
          </w:p>
        </w:tc>
      </w:tr>
      <w:tr w:rsidR="00C975B9" w14:paraId="0F76E8AF"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00118C4F" w14:textId="77777777" w:rsidR="00C975B9" w:rsidRDefault="00C975B9">
            <w:pPr>
              <w:pStyle w:val="BodyText"/>
            </w:pPr>
            <w:r>
              <w:t>15</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40728A" w14:textId="77777777" w:rsidR="00C975B9" w:rsidRDefault="00C975B9">
            <w:pPr>
              <w:overflowPunct/>
              <w:autoSpaceDE/>
              <w:autoSpaceDN/>
              <w:adjustRightInd/>
              <w:spacing w:after="0"/>
              <w:jc w:val="left"/>
            </w:pPr>
          </w:p>
        </w:tc>
      </w:tr>
    </w:tbl>
    <w:p w14:paraId="5FC94CCD" w14:textId="77777777" w:rsidR="00C975B9" w:rsidRDefault="00C975B9" w:rsidP="00C975B9">
      <w:pPr>
        <w:pStyle w:val="BodyText"/>
        <w:rPr>
          <w:rFonts w:ascii="Arial" w:hAnsi="Arial"/>
          <w:lang w:val="en-US" w:eastAsia="en-US"/>
        </w:rPr>
      </w:pPr>
    </w:p>
    <w:p w14:paraId="48943C66" w14:textId="77777777" w:rsidR="00C975B9" w:rsidRDefault="00C975B9" w:rsidP="00C975B9">
      <w:pPr>
        <w:pStyle w:val="Observation"/>
        <w:numPr>
          <w:ilvl w:val="0"/>
          <w:numId w:val="32"/>
        </w:numPr>
        <w:ind w:left="1701" w:hanging="1701"/>
        <w:textAlignment w:val="auto"/>
        <w:rPr>
          <w:lang w:val="en-US" w:eastAsia="en-US"/>
        </w:rPr>
      </w:pPr>
      <w:bookmarkStart w:id="22" w:name="_Toc4774085"/>
      <w:bookmarkStart w:id="23" w:name="_Toc4777953"/>
      <w:r>
        <w:rPr>
          <w:lang w:val="en-US" w:eastAsia="en-US"/>
        </w:rPr>
        <w:t>For per-layer NNZCI approach, the RI and NNZCIs can be jointly or independently encoded</w:t>
      </w:r>
      <w:bookmarkEnd w:id="22"/>
      <w:bookmarkEnd w:id="23"/>
    </w:p>
    <w:p w14:paraId="51C3BD21" w14:textId="77777777" w:rsidR="00C975B9" w:rsidRDefault="00C975B9" w:rsidP="00C975B9">
      <w:pPr>
        <w:pStyle w:val="BodyText"/>
        <w:rPr>
          <w:b/>
          <w:i/>
        </w:rPr>
      </w:pPr>
      <w:r>
        <w:rPr>
          <w:b/>
          <w:i/>
        </w:rPr>
        <w:t>Approach 2: Total number of non-zero coefficients indication</w:t>
      </w:r>
    </w:p>
    <w:p w14:paraId="5D3B895B" w14:textId="77777777" w:rsidR="00C975B9" w:rsidRDefault="00C975B9" w:rsidP="00C975B9">
      <w:pPr>
        <w:pStyle w:val="BodyText"/>
      </w:pPr>
      <w:r>
        <w:t xml:space="preserve">Since the purpose of including the number of NNZC indicator(s) in UCI Part 1 is only to determine the payload of UCI Part 2, the total number of non-zero coefficients across all layers could be indicated instead of having layer-wise indication. That is, a single UCI parameter indicating the sum of the NNZC across layers is indicated in UCI Part 1. </w:t>
      </w:r>
    </w:p>
    <w:p w14:paraId="50115740" w14:textId="77777777" w:rsidR="00C975B9" w:rsidRDefault="00C975B9" w:rsidP="00C975B9">
      <w:pPr>
        <w:pStyle w:val="BodyText"/>
      </w:pPr>
      <w:r>
        <w:t xml:space="preserve">That is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1</m:t>
            </m:r>
          </m:sub>
          <m:sup>
            <m:r>
              <w:rPr>
                <w:rFonts w:ascii="Cambria Math" w:hAnsi="Cambria Math"/>
              </w:rPr>
              <m:t>(TOT)</m:t>
            </m:r>
          </m:sup>
        </m:sSubSup>
        <m:r>
          <w:rPr>
            <w:rFonts w:ascii="Cambria Math" w:hAnsi="Cambria Math"/>
          </w:rPr>
          <m:t>=</m:t>
        </m:r>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R-1</m:t>
            </m:r>
          </m:sup>
          <m:e>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1</m:t>
                </m:r>
              </m:sub>
            </m:sSub>
            <m:r>
              <w:rPr>
                <w:rFonts w:ascii="Cambria Math" w:hAnsi="Cambria Math"/>
              </w:rPr>
              <m:t>(l)</m:t>
            </m:r>
          </m:e>
        </m:nary>
      </m:oMath>
      <w:r>
        <w:t xml:space="preserve"> is indicated, where R is the selected rank by the UE. Since per-layer NZC bitmaps are included in UCI Part 2, the gNB can infer the distribution of the NZCs among the layers and there is no ambiguity. The required bitwidth for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1</m:t>
            </m:r>
          </m:sub>
          <m:sup>
            <m:r>
              <w:rPr>
                <w:rFonts w:ascii="Cambria Math" w:hAnsi="Cambria Math"/>
              </w:rPr>
              <m:t>(TOT)</m:t>
            </m:r>
          </m:sup>
        </m:sSubSup>
      </m:oMath>
      <w:r>
        <w:t xml:space="preserve"> indication is thus </w:t>
      </w:r>
      <m:oMath>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ctrlPr>
                  <w:rPr>
                    <w:rFonts w:ascii="Cambria Math" w:hAnsi="Cambria Math"/>
                    <w:spacing w:val="2"/>
                    <w:lang w:val="en-US" w:eastAsia="en-US"/>
                  </w:rPr>
                </m:ctrlPr>
              </m:e>
              <m:lim>
                <m:r>
                  <w:rPr>
                    <w:rFonts w:ascii="Cambria Math" w:hAnsi="Cambria Math"/>
                  </w:rPr>
                  <m:t>R</m:t>
                </m:r>
                <m:ctrlPr>
                  <w:rPr>
                    <w:rFonts w:ascii="Cambria Math" w:hAnsi="Cambria Math"/>
                    <w:spacing w:val="2"/>
                    <w:lang w:val="en-US" w:eastAsia="en-US"/>
                  </w:rPr>
                </m:ctrlPr>
              </m:lim>
            </m:limLow>
          </m:fName>
          <m:e>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R-1</m:t>
                        </m:r>
                      </m:sup>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e>
                    </m:nary>
                  </m:e>
                </m:func>
              </m:e>
            </m:d>
          </m:e>
        </m:func>
      </m:oMath>
      <w:r>
        <w:t xml:space="preserve"> , where again we take the maximum across the allowed ranks in order to have the UCI Part 1 payload rank-independent. This may reduce overhead compared to having per-layer NNZC indication, however it requires that the RI is explicitly included as a parameter in UCI Part 1 in order to determine the rank selection. </w:t>
      </w:r>
    </w:p>
    <w:p w14:paraId="444D215E" w14:textId="77777777" w:rsidR="00C975B9" w:rsidRDefault="00C975B9" w:rsidP="00C975B9">
      <w:pPr>
        <w:pStyle w:val="BodyText"/>
      </w:pPr>
      <w:r>
        <w:t xml:space="preserve">As an example, for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=28</m:t>
        </m:r>
      </m:oMath>
      <w:r>
        <w:t xml:space="preserve"> and rank-4, Approach 1 will yield an overhead of </w:t>
      </w:r>
      <m:oMath>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3</m:t>
            </m:r>
          </m:sup>
          <m:e>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r>
                      <w:rPr>
                        <w:rFonts w:ascii="Cambria Math" w:hAnsi="Cambria Math"/>
                        <w:spacing w:val="2"/>
                        <w:lang w:val="en-US" w:eastAsia="en-US"/>
                      </w:rPr>
                      <m:t>28</m:t>
                    </m:r>
                  </m:e>
                </m:func>
              </m:e>
            </m:d>
          </m:e>
        </m:nary>
        <m:r>
          <w:rPr>
            <w:rFonts w:ascii="Cambria Math" w:hAnsi="Cambria Math"/>
            <w:spacing w:val="2"/>
            <w:lang w:val="en-US" w:eastAsia="en-US"/>
          </w:rPr>
          <m:t>=20</m:t>
        </m:r>
      </m:oMath>
      <w:r>
        <w:rPr>
          <w:spacing w:val="2"/>
          <w:lang w:val="en-US" w:eastAsia="en-US"/>
        </w:rPr>
        <w:t xml:space="preserve"> bits while Approach 2 yields an overhead of </w:t>
      </w:r>
      <m:oMath>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spacing w:val="2"/>
                        <w:lang w:val="en-US" w:eastAsia="en-US"/>
                      </w:rPr>
                      <m:t>3</m:t>
                    </m:r>
                  </m:sup>
                  <m:e>
                    <m:r>
                      <w:rPr>
                        <w:rFonts w:ascii="Cambria Math" w:eastAsia="Malgun Gothic" w:hAnsi="Cambria Math"/>
                        <w:spacing w:val="2"/>
                        <w:lang w:val="en-US" w:eastAsia="en-US"/>
                      </w:rPr>
                      <m:t>28</m:t>
                    </m:r>
                  </m:e>
                </m:nary>
              </m:e>
            </m:func>
          </m:e>
        </m:d>
        <m:r>
          <w:rPr>
            <w:rFonts w:ascii="Cambria Math" w:hAnsi="Cambria Math"/>
            <w:spacing w:val="2"/>
            <w:lang w:val="en-US" w:eastAsia="en-US"/>
          </w:rPr>
          <m:t>=7</m:t>
        </m:r>
      </m:oMath>
      <w:r>
        <w:rPr>
          <w:spacing w:val="2"/>
          <w:lang w:val="en-US" w:eastAsia="en-US"/>
        </w:rPr>
        <w:t xml:space="preserve"> bits. Clearly, Approach 2 seems to have an advantage!</w:t>
      </w:r>
    </w:p>
    <w:p w14:paraId="5E05FB4C" w14:textId="77777777" w:rsidR="00C975B9" w:rsidRDefault="00C975B9" w:rsidP="00C975B9">
      <w:pPr>
        <w:pStyle w:val="Observation"/>
        <w:numPr>
          <w:ilvl w:val="0"/>
          <w:numId w:val="32"/>
        </w:numPr>
        <w:ind w:left="1701" w:hanging="1701"/>
        <w:textAlignment w:val="auto"/>
      </w:pPr>
      <w:bookmarkStart w:id="24" w:name="_Toc4774086"/>
      <w:bookmarkStart w:id="25" w:name="_Toc4777954"/>
      <w:r>
        <w:t>Joint number of non-zero coefficient indication across layers can reduce overhead compared to layer-wise non-zero coefficient indication</w:t>
      </w:r>
      <w:bookmarkEnd w:id="24"/>
      <w:bookmarkEnd w:id="25"/>
    </w:p>
    <w:p w14:paraId="26867EE2" w14:textId="77777777" w:rsidR="00C975B9" w:rsidRDefault="00C975B9" w:rsidP="00C975B9">
      <w:pPr>
        <w:pStyle w:val="Proposal"/>
        <w:numPr>
          <w:ilvl w:val="0"/>
          <w:numId w:val="44"/>
        </w:numPr>
        <w:tabs>
          <w:tab w:val="clear" w:pos="1304"/>
        </w:tabs>
        <w:ind w:left="1701" w:hanging="1701"/>
        <w:textAlignment w:val="auto"/>
      </w:pPr>
      <w:bookmarkStart w:id="26" w:name="_Toc4771617"/>
      <w:bookmarkStart w:id="27" w:name="_Toc4777965"/>
      <w:r>
        <w:t>Support joint number of non-zero coefficient indication across layers and separate RI encoding in UCI Part 1</w:t>
      </w:r>
      <w:bookmarkEnd w:id="26"/>
      <w:bookmarkEnd w:id="27"/>
    </w:p>
    <w:p w14:paraId="3E1B1D7F" w14:textId="1AD5E375" w:rsidR="00C975B9" w:rsidRPr="00C975B9" w:rsidRDefault="00C975B9" w:rsidP="004E1AB7">
      <w:pPr>
        <w:pStyle w:val="BodyText"/>
      </w:pPr>
      <w:r>
        <w:t xml:space="preserve">In fact, if layer-common NNZC indication is used, the UE may be configured with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0</m:t>
            </m:r>
          </m:sub>
          <m:sup>
            <m:r>
              <w:rPr>
                <w:rFonts w:ascii="Cambria Math" w:hAnsi="Cambria Math"/>
              </w:rPr>
              <m:t>(TOT)</m:t>
            </m:r>
          </m:sup>
        </m:sSubSup>
        <m:r>
          <w:rPr>
            <w:rFonts w:ascii="Cambria Math" w:hAnsi="Cambria Math"/>
          </w:rPr>
          <m:t>=</m:t>
        </m:r>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R-1</m:t>
            </m:r>
          </m:sup>
          <m:e>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r>
              <w:rPr>
                <w:rFonts w:ascii="Cambria Math" w:hAnsi="Cambria Math"/>
              </w:rPr>
              <m:t>(l)</m:t>
            </m:r>
          </m:e>
        </m:nary>
      </m:oMath>
      <w:r>
        <w:t xml:space="preserve"> but can freely distribute the budgeted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0</m:t>
            </m:r>
          </m:sub>
          <m:sup>
            <m:r>
              <w:rPr>
                <w:rFonts w:ascii="Cambria Math" w:hAnsi="Cambria Math"/>
              </w:rPr>
              <m:t>(TOT)</m:t>
            </m:r>
          </m:sup>
        </m:sSubSup>
      </m:oMath>
      <w:r>
        <w:t xml:space="preserve"> coefficients between the layers in order to optimize the precoding performance. For instance, the UE may determine that some layers have more non-zero coefficients than others and therefore choose the allocate more feedback bits to </w:t>
      </w:r>
      <w:r w:rsidR="00971603">
        <w:t>those</w:t>
      </w:r>
      <w:r>
        <w:t xml:space="preserve"> layers. Since the gNB can determine the distribution of the non-zero coefficients by looking at the bitmap, there is no ambiguity.</w:t>
      </w:r>
    </w:p>
    <w:p w14:paraId="708773FD" w14:textId="594B3A2F" w:rsidR="000C0CAB" w:rsidRDefault="000C0CAB" w:rsidP="000C0CAB">
      <w:pPr>
        <w:pStyle w:val="Heading1"/>
      </w:pPr>
      <w:r>
        <w:t>Working assumption on oversampling for FD-basis</w:t>
      </w:r>
    </w:p>
    <w:p w14:paraId="66E0A940" w14:textId="77777777" w:rsidR="00F35678" w:rsidRDefault="00F35678" w:rsidP="00F35678">
      <w:pPr>
        <w:pStyle w:val="BodyText"/>
        <w:spacing w:before="240"/>
      </w:pPr>
      <w:r>
        <w:t xml:space="preserve">In RAN1 AH 1901, a working assumption was made to introduce oversampling factor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t xml:space="preserve"> for the FD-basis, instead of using a critically </w:t>
      </w:r>
      <m:oMath>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r>
        <w:t xml:space="preserve"> sampled DFT basis as the FD-basis:</w:t>
      </w:r>
    </w:p>
    <w:p w14:paraId="53C9DF28" w14:textId="77777777" w:rsidR="00F35678" w:rsidRPr="00426F16" w:rsidRDefault="00F35678" w:rsidP="00F35678">
      <w:pPr>
        <w:pStyle w:val="Style1"/>
        <w:spacing w:after="0" w:line="240" w:lineRule="auto"/>
        <w:ind w:firstLine="0"/>
        <w:rPr>
          <w:rFonts w:ascii="Times New Roman" w:hAnsi="Times New Roman" w:cs="Times New Roman"/>
          <w:i/>
          <w:highlight w:val="darkYellow"/>
          <w:lang w:val="en-US"/>
        </w:rPr>
      </w:pPr>
      <w:r w:rsidRPr="00426F16">
        <w:rPr>
          <w:rFonts w:ascii="Times New Roman" w:hAnsi="Times New Roman" w:cs="Times New Roman"/>
          <w:b/>
          <w:highlight w:val="darkYellow"/>
          <w:lang w:val="en-US"/>
        </w:rPr>
        <w:t>Working Assumption</w:t>
      </w:r>
    </w:p>
    <w:p w14:paraId="0282D262" w14:textId="77777777" w:rsidR="00F35678" w:rsidRPr="00426F16" w:rsidRDefault="00F35678" w:rsidP="00F35678">
      <w:pPr>
        <w:pStyle w:val="Style1"/>
        <w:spacing w:after="0" w:line="240" w:lineRule="auto"/>
        <w:ind w:firstLine="0"/>
        <w:rPr>
          <w:rFonts w:ascii="Times New Roman" w:hAnsi="Times New Roman" w:cs="Times New Roman"/>
          <w:lang w:val="en-US"/>
        </w:rPr>
      </w:pPr>
      <w:r w:rsidRPr="00426F16">
        <w:rPr>
          <w:rFonts w:ascii="Times New Roman" w:hAnsi="Times New Roman" w:cs="Times New Roman"/>
          <w:lang w:val="en-US"/>
        </w:rPr>
        <w:t>On the choice of oversampling factor O</w:t>
      </w:r>
      <w:r w:rsidRPr="00426F16">
        <w:rPr>
          <w:rFonts w:ascii="Times New Roman" w:hAnsi="Times New Roman" w:cs="Times New Roman"/>
          <w:vertAlign w:val="subscript"/>
          <w:lang w:val="en-US"/>
        </w:rPr>
        <w:t>3</w:t>
      </w:r>
      <w:r w:rsidRPr="00426F16">
        <w:rPr>
          <w:rFonts w:ascii="Times New Roman" w:hAnsi="Times New Roman" w:cs="Times New Roman"/>
          <w:lang w:val="en-US"/>
        </w:rPr>
        <w:t>, O</w:t>
      </w:r>
      <w:r w:rsidRPr="00426F16">
        <w:rPr>
          <w:rFonts w:ascii="Times New Roman" w:hAnsi="Times New Roman" w:cs="Times New Roman"/>
          <w:vertAlign w:val="subscript"/>
          <w:lang w:val="en-US"/>
        </w:rPr>
        <w:t>3</w:t>
      </w:r>
      <w:r w:rsidRPr="00426F16">
        <w:rPr>
          <w:rFonts w:ascii="Times New Roman" w:hAnsi="Times New Roman" w:cs="Times New Roman"/>
          <w:lang w:val="en-US"/>
        </w:rPr>
        <w:t xml:space="preserve"> = 4 is supported  </w:t>
      </w:r>
    </w:p>
    <w:p w14:paraId="36040081" w14:textId="23FF4F62" w:rsidR="008D02C8" w:rsidRDefault="008D02C8" w:rsidP="008D02C8">
      <w:pPr>
        <w:rPr>
          <w:lang w:val="en-US"/>
        </w:rPr>
      </w:pPr>
    </w:p>
    <w:p w14:paraId="14952A16" w14:textId="6F5AFEEA" w:rsidR="00F35678" w:rsidRPr="00684F0C" w:rsidRDefault="00F35678" w:rsidP="008D02C8">
      <w:pPr>
        <w:rPr>
          <w:lang w:val="en-US"/>
        </w:rPr>
      </w:pPr>
      <w:r>
        <w:rPr>
          <w:lang w:val="en-US"/>
        </w:rPr>
        <w:t xml:space="preserve">However, </w:t>
      </w:r>
      <w:r w:rsidR="00951260">
        <w:rPr>
          <w:lang w:val="en-US"/>
        </w:rPr>
        <w:t>as is showed both with mathematical derivations as well as simulation results in our companion contribution</w:t>
      </w:r>
      <w:r w:rsidR="00426F16">
        <w:rPr>
          <w:lang w:val="en-US"/>
        </w:rPr>
        <w:t xml:space="preserve"> on this topic</w:t>
      </w:r>
      <w:r w:rsidR="00951260">
        <w:rPr>
          <w:lang w:val="en-US"/>
        </w:rPr>
        <w:t xml:space="preserve"> [5], </w:t>
      </w:r>
      <w:r w:rsidR="003A206D">
        <w:rPr>
          <w:lang w:val="en-US"/>
        </w:rPr>
        <w:t>a rotated (i.e. oversampled) orthogonal DFT basis can be expressed as a</w:t>
      </w:r>
      <w:r w:rsidR="00E0351D" w:rsidRPr="00D238EC">
        <w:rPr>
          <w:lang w:val="en-US"/>
        </w:rPr>
        <w:t xml:space="preserve"> multiplication of a rotation matrix </w:t>
      </w:r>
      <m:oMath>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r>
          <m:rPr>
            <m:sty m:val="bi"/>
          </m:rPr>
          <w:rPr>
            <w:rFonts w:ascii="Cambria Math" w:hAnsi="Cambria Math"/>
          </w:rPr>
          <m:t>=</m:t>
        </m:r>
        <m:d>
          <m:dPr>
            <m:begChr m:val="["/>
            <m:endChr m:val="]"/>
            <m:ctrlPr>
              <w:rPr>
                <w:rFonts w:ascii="Cambria Math" w:hAnsi="Cambria Math"/>
                <w:i/>
                <w:iCs/>
              </w:rPr>
            </m:ctrlPr>
          </m:dPr>
          <m:e>
            <m:m>
              <m:mPr>
                <m:mcs>
                  <m:mc>
                    <m:mcPr>
                      <m:count m:val="4"/>
                      <m:mcJc m:val="center"/>
                    </m:mcPr>
                  </m:mc>
                </m:mcs>
                <m:ctrlPr>
                  <w:rPr>
                    <w:rFonts w:ascii="Cambria Math" w:hAnsi="Cambria Math"/>
                    <w:i/>
                    <w:iCs/>
                  </w:rPr>
                </m:ctrlPr>
              </m:mPr>
              <m:mr>
                <m:e>
                  <m:r>
                    <w:rPr>
                      <w:rFonts w:ascii="Cambria Math" w:hAnsi="Cambria Math"/>
                    </w:rPr>
                    <m:t>1</m:t>
                  </m:r>
                </m:e>
                <m:e>
                  <m:r>
                    <w:rPr>
                      <w:rFonts w:ascii="Cambria Math" w:hAnsi="Cambria Math"/>
                    </w:rPr>
                    <m:t>0</m:t>
                  </m:r>
                  <m:ctrlPr>
                    <w:rPr>
                      <w:rFonts w:ascii="Cambria Math" w:eastAsia="Cambria Math" w:hAnsi="Cambria Math"/>
                      <w:i/>
                      <w:iCs/>
                    </w:rPr>
                  </m:ctrlPr>
                </m:e>
                <m:e>
                  <m:r>
                    <w:rPr>
                      <w:rFonts w:ascii="Cambria Math" w:eastAsia="Cambria Math" w:hAnsi="Cambria Math"/>
                    </w:rPr>
                    <m:t>…</m:t>
                  </m:r>
                  <m:ctrlPr>
                    <w:rPr>
                      <w:rFonts w:ascii="Cambria Math" w:eastAsia="Cambria Math" w:hAnsi="Cambria Math"/>
                      <w:i/>
                      <w:iCs/>
                    </w:rPr>
                  </m:ctrlPr>
                </m:e>
                <m:e>
                  <m:r>
                    <w:rPr>
                      <w:rFonts w:ascii="Cambria Math" w:eastAsia="Cambria Math" w:hAnsi="Cambria Math"/>
                    </w:rPr>
                    <m:t>0</m:t>
                  </m:r>
                </m:e>
              </m:mr>
              <m:mr>
                <m:e>
                  <m:r>
                    <w:rPr>
                      <w:rFonts w:ascii="Cambria Math" w:hAnsi="Cambria Math"/>
                    </w:rPr>
                    <m:t>0</m:t>
                  </m:r>
                  <m:ctrlPr>
                    <w:rPr>
                      <w:rFonts w:ascii="Cambria Math" w:eastAsia="Cambria Math" w:hAnsi="Cambria Math"/>
                      <w:i/>
                      <w:iCs/>
                    </w:rPr>
                  </m:ctrlPr>
                </m:e>
                <m:e>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j2π1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rPr>
                              </m:ctrlPr>
                            </m:sSubPr>
                            <m:e>
                              <m:r>
                                <w:rPr>
                                  <w:rFonts w:ascii="Cambria Math" w:hAnsi="Cambria Math"/>
                                </w:rPr>
                                <m:t>N</m:t>
                              </m:r>
                            </m:e>
                            <m:sub>
                              <m:r>
                                <w:rPr>
                                  <w:rFonts w:ascii="Cambria Math" w:hAnsi="Cambria Math"/>
                                </w:rPr>
                                <m:t>3</m:t>
                              </m:r>
                            </m:sub>
                          </m:sSub>
                          <m:sSub>
                            <m:sSubPr>
                              <m:ctrlPr>
                                <w:rPr>
                                  <w:rFonts w:ascii="Cambria Math" w:hAnsi="Cambria Math"/>
                                  <w:i/>
                                  <w:iCs/>
                                </w:rPr>
                              </m:ctrlPr>
                            </m:sSubPr>
                            <m:e>
                              <m:r>
                                <w:rPr>
                                  <w:rFonts w:ascii="Cambria Math" w:hAnsi="Cambria Math"/>
                                </w:rPr>
                                <m:t>0</m:t>
                              </m:r>
                            </m:e>
                            <m:sub>
                              <m:r>
                                <w:rPr>
                                  <w:rFonts w:ascii="Cambria Math" w:hAnsi="Cambria Math"/>
                                </w:rPr>
                                <m:t>3</m:t>
                              </m:r>
                            </m:sub>
                          </m:sSub>
                        </m:den>
                      </m:f>
                    </m:sup>
                  </m:sSup>
                  <m:ctrlPr>
                    <w:rPr>
                      <w:rFonts w:ascii="Cambria Math" w:eastAsia="Cambria Math" w:hAnsi="Cambria Math"/>
                      <w:i/>
                      <w:iCs/>
                    </w:rPr>
                  </m:ctrlPr>
                </m:e>
                <m:e>
                  <m:r>
                    <w:rPr>
                      <w:rFonts w:ascii="Cambria Math" w:eastAsia="Cambria Math" w:hAnsi="Cambria Math"/>
                    </w:rPr>
                    <m:t>…</m:t>
                  </m:r>
                  <m:ctrlPr>
                    <w:rPr>
                      <w:rFonts w:ascii="Cambria Math" w:eastAsia="Cambria Math" w:hAnsi="Cambria Math"/>
                      <w:i/>
                      <w:iCs/>
                    </w:rPr>
                  </m:ctrlPr>
                </m:e>
                <m:e>
                  <m:r>
                    <w:rPr>
                      <w:rFonts w:ascii="Cambria Math" w:eastAsia="Cambria Math" w:hAnsi="Cambria Math"/>
                    </w:rPr>
                    <m:t>…</m:t>
                  </m:r>
                  <m:ctrlPr>
                    <w:rPr>
                      <w:rFonts w:ascii="Cambria Math" w:eastAsia="Cambria Math" w:hAnsi="Cambria Math"/>
                      <w:i/>
                      <w:iCs/>
                    </w:rPr>
                  </m:ctrlPr>
                </m:e>
              </m:mr>
              <m:mr>
                <m:e>
                  <m:r>
                    <w:rPr>
                      <w:rFonts w:ascii="Cambria Math" w:eastAsia="Cambria Math" w:hAnsi="Cambria Math"/>
                    </w:rPr>
                    <m:t>…</m:t>
                  </m:r>
                  <m:ctrlPr>
                    <w:rPr>
                      <w:rFonts w:ascii="Cambria Math" w:eastAsia="Cambria Math" w:hAnsi="Cambria Math"/>
                      <w:i/>
                      <w:iCs/>
                    </w:rPr>
                  </m:ctrlPr>
                </m:e>
                <m:e>
                  <m:r>
                    <w:rPr>
                      <w:rFonts w:ascii="Cambria Math" w:eastAsia="Cambria Math" w:hAnsi="Cambria Math"/>
                    </w:rPr>
                    <m:t>…</m:t>
                  </m:r>
                  <m:ctrlPr>
                    <w:rPr>
                      <w:rFonts w:ascii="Cambria Math" w:eastAsia="Cambria Math" w:hAnsi="Cambria Math"/>
                      <w:i/>
                      <w:iCs/>
                    </w:rPr>
                  </m:ctrlPr>
                </m:e>
                <m:e>
                  <m:r>
                    <w:rPr>
                      <w:rFonts w:ascii="Cambria Math" w:eastAsia="Cambria Math" w:hAnsi="Cambria Math"/>
                    </w:rPr>
                    <m:t>…</m:t>
                  </m:r>
                  <m:ctrlPr>
                    <w:rPr>
                      <w:rFonts w:ascii="Cambria Math" w:eastAsia="Cambria Math" w:hAnsi="Cambria Math"/>
                      <w:i/>
                      <w:iCs/>
                    </w:rPr>
                  </m:ctrlPr>
                </m:e>
                <m:e>
                  <m:r>
                    <w:rPr>
                      <w:rFonts w:ascii="Cambria Math" w:eastAsia="Cambria Math" w:hAnsi="Cambria Math"/>
                    </w:rPr>
                    <m:t>0</m:t>
                  </m:r>
                  <m:ctrlPr>
                    <w:rPr>
                      <w:rFonts w:ascii="Cambria Math" w:eastAsia="Cambria Math" w:hAnsi="Cambria Math"/>
                      <w:i/>
                      <w:iCs/>
                    </w:rPr>
                  </m:ctrlPr>
                </m:e>
              </m:mr>
              <m:mr>
                <m:e>
                  <m:r>
                    <w:rPr>
                      <w:rFonts w:ascii="Cambria Math" w:eastAsia="Cambria Math" w:hAnsi="Cambria Math"/>
                    </w:rPr>
                    <m:t>0</m:t>
                  </m:r>
                </m:e>
                <m:e>
                  <m:r>
                    <w:rPr>
                      <w:rFonts w:ascii="Cambria Math" w:hAnsi="Cambria Math"/>
                    </w:rPr>
                    <m:t>…</m:t>
                  </m:r>
                  <m:ctrlPr>
                    <w:rPr>
                      <w:rFonts w:ascii="Cambria Math" w:eastAsia="Cambria Math" w:hAnsi="Cambria Math"/>
                      <w:i/>
                      <w:iCs/>
                    </w:rPr>
                  </m:ctrlPr>
                </m:e>
                <m:e>
                  <m:r>
                    <w:rPr>
                      <w:rFonts w:ascii="Cambria Math" w:eastAsia="Cambria Math" w:hAnsi="Cambria Math"/>
                    </w:rPr>
                    <m:t>0</m:t>
                  </m:r>
                  <m:ctrlPr>
                    <w:rPr>
                      <w:rFonts w:ascii="Cambria Math" w:eastAsia="Cambria Math" w:hAnsi="Cambria Math"/>
                      <w:i/>
                      <w:iCs/>
                    </w:rPr>
                  </m:ctrlPr>
                </m:e>
                <m:e>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rPr>
                              </m:ctrlPr>
                            </m:sSubPr>
                            <m:e>
                              <m:r>
                                <w:rPr>
                                  <w:rFonts w:ascii="Cambria Math" w:hAnsi="Cambria Math"/>
                                </w:rPr>
                                <m:t>N</m:t>
                              </m:r>
                            </m:e>
                            <m:sub>
                              <m:r>
                                <w:rPr>
                                  <w:rFonts w:ascii="Cambria Math" w:hAnsi="Cambria Math"/>
                                </w:rPr>
                                <m:t>3</m:t>
                              </m:r>
                            </m:sub>
                          </m:sSub>
                          <m:sSub>
                            <m:sSubPr>
                              <m:ctrlPr>
                                <w:rPr>
                                  <w:rFonts w:ascii="Cambria Math" w:hAnsi="Cambria Math"/>
                                  <w:i/>
                                  <w:iCs/>
                                </w:rPr>
                              </m:ctrlPr>
                            </m:sSubPr>
                            <m:e>
                              <m:r>
                                <w:rPr>
                                  <w:rFonts w:ascii="Cambria Math" w:hAnsi="Cambria Math"/>
                                </w:rPr>
                                <m:t>0</m:t>
                              </m:r>
                            </m:e>
                            <m:sub>
                              <m:r>
                                <w:rPr>
                                  <w:rFonts w:ascii="Cambria Math" w:hAnsi="Cambria Math"/>
                                </w:rPr>
                                <m:t>3</m:t>
                              </m:r>
                            </m:sub>
                          </m:sSub>
                        </m:den>
                      </m:f>
                    </m:sup>
                  </m:sSup>
                </m:e>
              </m:mr>
            </m:m>
          </m:e>
        </m:d>
      </m:oMath>
      <w:r w:rsidR="00D238EC" w:rsidRPr="00D238EC">
        <w:rPr>
          <w:iCs/>
        </w:rPr>
        <w:t xml:space="preserve"> and an orthogonal DFT matrix </w:t>
      </w:r>
      <m:oMath>
        <m:r>
          <m:rPr>
            <m:sty m:val="bi"/>
          </m:rPr>
          <w:rPr>
            <w:rFonts w:ascii="Cambria Math" w:hAnsi="Cambria Math"/>
          </w:rPr>
          <m:t>D</m:t>
        </m:r>
      </m:oMath>
      <w:r w:rsidR="00684F0C">
        <w:rPr>
          <w:b/>
        </w:rPr>
        <w:t xml:space="preserve">. </w:t>
      </w:r>
      <w:r w:rsidR="00684F0C">
        <w:t xml:space="preserve">This implies that the resulting </w:t>
      </w:r>
      <w:r w:rsidR="00684F0C">
        <w:lastRenderedPageBreak/>
        <w:t>precoder</w:t>
      </w:r>
      <w:r w:rsidR="008A1688">
        <w:t>s when a non-zero oversampling index is reported simply is a column-wise (i.e. per FD-unit) phase scaled version of the precoders</w:t>
      </w:r>
      <w:r w:rsidR="00416C18">
        <w:t xml:space="preserve"> when oversampling index is not reported, which have the same precoding performance:</w:t>
      </w:r>
    </w:p>
    <w:p w14:paraId="6B28D833" w14:textId="77777777" w:rsidR="003A4CFA" w:rsidRDefault="003A4CFA" w:rsidP="003A4CFA">
      <w:pPr>
        <w:rPr>
          <w:iCs/>
          <w:lang w:val="sv-SE"/>
        </w:rPr>
      </w:pPr>
      <m:oMathPara>
        <m:oMath>
          <m:r>
            <m:rPr>
              <m:sty m:val="bi"/>
            </m:rPr>
            <w:rPr>
              <w:rFonts w:ascii="Cambria Math" w:hAnsi="Cambria Math"/>
            </w:rPr>
            <m:t>W= </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acc>
            <m:accPr>
              <m:chr m:val="̃"/>
              <m:ctrlPr>
                <w:rPr>
                  <w:rFonts w:ascii="Cambria Math" w:hAnsi="Cambria Math"/>
                  <w:b/>
                  <w:bCs/>
                  <w:i/>
                  <w:iCs/>
                </w:rPr>
              </m:ctrlPr>
            </m:accPr>
            <m:e>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2</m:t>
                  </m:r>
                </m:sub>
              </m:sSub>
            </m:e>
          </m:acc>
          <m:sSubSup>
            <m:sSubSupPr>
              <m:ctrlPr>
                <w:rPr>
                  <w:rFonts w:ascii="Cambria Math" w:hAnsi="Cambria Math"/>
                  <w:i/>
                  <w:iCs/>
                </w:rPr>
              </m:ctrlPr>
            </m:sSubSupPr>
            <m:e>
              <m:r>
                <m:rPr>
                  <m:sty m:val="bi"/>
                </m:rPr>
                <w:rPr>
                  <w:rFonts w:ascii="Cambria Math" w:hAnsi="Cambria Math"/>
                  <w:lang w:val="sv-SE"/>
                </w:rPr>
                <m:t>W</m:t>
              </m:r>
            </m:e>
            <m:sub>
              <m:r>
                <w:rPr>
                  <w:rFonts w:ascii="Cambria Math" w:hAnsi="Cambria Math"/>
                  <w:lang w:val="sv-SE"/>
                </w:rPr>
                <m:t>f</m:t>
              </m:r>
            </m:sub>
            <m:sup>
              <m:r>
                <w:rPr>
                  <w:rFonts w:ascii="Cambria Math" w:hAnsi="Cambria Math"/>
                </w:rPr>
                <m:t>H</m:t>
              </m:r>
            </m:sup>
          </m:sSubSup>
          <m:r>
            <w:rPr>
              <w:rFonts w:ascii="Cambria Math" w:hAnsi="Cambria Math"/>
              <w:lang w:val="sv-SE"/>
            </w:rPr>
            <m:t>=</m:t>
          </m:r>
          <m:sSup>
            <m:sSupPr>
              <m:ctrlPr>
                <w:rPr>
                  <w:rFonts w:ascii="Cambria Math" w:hAnsi="Cambria Math"/>
                  <w:b/>
                  <w:bCs/>
                  <w:i/>
                  <w:iCs/>
                </w:rPr>
              </m:ctrlPr>
            </m:sSupPr>
            <m:e>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acc>
                <m:accPr>
                  <m:chr m:val="̃"/>
                  <m:ctrlPr>
                    <w:rPr>
                      <w:rFonts w:ascii="Cambria Math" w:hAnsi="Cambria Math"/>
                      <w:b/>
                      <w:bCs/>
                      <w:i/>
                      <w:iCs/>
                    </w:rPr>
                  </m:ctrlPr>
                </m:accPr>
                <m:e>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2</m:t>
                      </m:r>
                    </m:sub>
                  </m:sSub>
                </m:e>
              </m:acc>
              <m:sSubSup>
                <m:sSubSupPr>
                  <m:ctrlPr>
                    <w:rPr>
                      <w:rFonts w:ascii="Cambria Math" w:hAnsi="Cambria Math"/>
                      <w:b/>
                      <w:bCs/>
                      <w:i/>
                      <w:iCs/>
                    </w:rPr>
                  </m:ctrlPr>
                </m:sSubSupPr>
                <m:e>
                  <m:r>
                    <m:rPr>
                      <m:sty m:val="bi"/>
                    </m:rPr>
                    <w:rPr>
                      <w:rFonts w:ascii="Cambria Math" w:hAnsi="Cambria Math"/>
                    </w:rPr>
                    <m:t>D</m:t>
                  </m:r>
                </m:e>
                <m:sub>
                  <m:r>
                    <w:rPr>
                      <w:rFonts w:ascii="Cambria Math" w:hAnsi="Cambria Math"/>
                    </w:rPr>
                    <m:t>M</m:t>
                  </m:r>
                </m:sub>
                <m:sup>
                  <m:r>
                    <w:rPr>
                      <w:rFonts w:ascii="Cambria Math" w:hAnsi="Cambria Math"/>
                    </w:rPr>
                    <m:t>H</m:t>
                  </m:r>
                </m:sup>
              </m:sSubSup>
              <m:r>
                <m:rPr>
                  <m:sty m:val="bi"/>
                </m:rPr>
                <w:rPr>
                  <w:rFonts w:ascii="Cambria Math" w:hAnsi="Cambria Math"/>
                </w:rPr>
                <m:t>R</m:t>
              </m:r>
            </m:e>
            <m:sup>
              <m:r>
                <w:rPr>
                  <w:rFonts w:ascii="Cambria Math" w:hAnsi="Cambria Math"/>
                </w:rPr>
                <m:t>H</m:t>
              </m:r>
            </m:sup>
          </m:sSup>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r>
            <m:rPr>
              <m:sty m:val="p"/>
            </m:rPr>
            <w:rPr>
              <w:rFonts w:ascii="Cambria Math" w:hAnsi="Cambria Math"/>
              <w:lang w:val="en-US"/>
            </w:rPr>
            <m:t>=</m:t>
          </m:r>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lang w:val="sv-SE"/>
                    </w:rPr>
                    <m:t>w</m:t>
                  </m:r>
                </m:e>
                <m:sub>
                  <m:r>
                    <w:rPr>
                      <w:rFonts w:ascii="Cambria Math" w:hAnsi="Cambria Math"/>
                      <w:lang w:val="en-US"/>
                    </w:rPr>
                    <m:t>0</m:t>
                  </m:r>
                </m:sub>
              </m:sSub>
              <m:r>
                <w:rPr>
                  <w:rFonts w:ascii="Cambria Math" w:hAnsi="Cambria Math"/>
                  <w:lang w:val="en-US"/>
                </w:rPr>
                <m:t> </m:t>
              </m:r>
              <m:sSub>
                <m:sSubPr>
                  <m:ctrlPr>
                    <w:rPr>
                      <w:rFonts w:ascii="Cambria Math" w:hAnsi="Cambria Math"/>
                      <w:b/>
                      <w:bCs/>
                      <w:i/>
                      <w:iCs/>
                    </w:rPr>
                  </m:ctrlPr>
                </m:sSubPr>
                <m:e>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j2π1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rPr>
                              </m:ctrlPr>
                            </m:sSubPr>
                            <m:e>
                              <m:r>
                                <w:rPr>
                                  <w:rFonts w:ascii="Cambria Math" w:hAnsi="Cambria Math"/>
                                </w:rPr>
                                <m:t>N</m:t>
                              </m:r>
                            </m:e>
                            <m:sub>
                              <m:r>
                                <w:rPr>
                                  <w:rFonts w:ascii="Cambria Math" w:hAnsi="Cambria Math"/>
                                </w:rPr>
                                <m:t>3</m:t>
                              </m:r>
                            </m:sub>
                          </m:sSub>
                          <m:sSub>
                            <m:sSubPr>
                              <m:ctrlPr>
                                <w:rPr>
                                  <w:rFonts w:ascii="Cambria Math" w:hAnsi="Cambria Math"/>
                                  <w:i/>
                                  <w:iCs/>
                                </w:rPr>
                              </m:ctrlPr>
                            </m:sSubPr>
                            <m:e>
                              <m:r>
                                <w:rPr>
                                  <w:rFonts w:ascii="Cambria Math" w:hAnsi="Cambria Math"/>
                                </w:rPr>
                                <m:t>0</m:t>
                              </m:r>
                            </m:e>
                            <m:sub>
                              <m:r>
                                <w:rPr>
                                  <w:rFonts w:ascii="Cambria Math" w:hAnsi="Cambria Math"/>
                                </w:rPr>
                                <m:t>3</m:t>
                              </m:r>
                            </m:sub>
                          </m:sSub>
                        </m:den>
                      </m:f>
                    </m:sup>
                  </m:sSup>
                  <m:r>
                    <m:rPr>
                      <m:sty m:val="bi"/>
                    </m:rPr>
                    <w:rPr>
                      <w:rFonts w:ascii="Cambria Math" w:hAnsi="Cambria Math"/>
                      <w:lang w:val="sv-SE"/>
                    </w:rPr>
                    <m:t>w</m:t>
                  </m:r>
                </m:e>
                <m:sub>
                  <m:r>
                    <m:rPr>
                      <m:sty m:val="bi"/>
                    </m:rPr>
                    <w:rPr>
                      <w:rFonts w:ascii="Cambria Math" w:hAnsi="Cambria Math"/>
                      <w:lang w:val="sv-SE"/>
                    </w:rPr>
                    <m:t>1</m:t>
                  </m:r>
                </m:sub>
              </m:sSub>
              <m:r>
                <w:rPr>
                  <w:rFonts w:ascii="Cambria Math" w:hAnsi="Cambria Math"/>
                  <w:lang w:val="en-US"/>
                </w:rPr>
                <m:t> …</m:t>
              </m:r>
              <m:r>
                <m:rPr>
                  <m:sty m:val="bi"/>
                </m:rPr>
                <w:rPr>
                  <w:rFonts w:ascii="Cambria Math" w:hAnsi="Cambria Math"/>
                  <w:lang w:val="en-US"/>
                </w:rPr>
                <m:t> </m:t>
              </m:r>
              <m:sSub>
                <m:sSubPr>
                  <m:ctrlPr>
                    <w:rPr>
                      <w:rFonts w:ascii="Cambria Math" w:hAnsi="Cambria Math"/>
                      <w:b/>
                      <w:bCs/>
                      <w:i/>
                      <w:iCs/>
                    </w:rPr>
                  </m:ctrlPr>
                </m:sSubPr>
                <m:e>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rPr>
                              </m:ctrlPr>
                            </m:sSubPr>
                            <m:e>
                              <m:r>
                                <w:rPr>
                                  <w:rFonts w:ascii="Cambria Math" w:hAnsi="Cambria Math"/>
                                </w:rPr>
                                <m:t>N</m:t>
                              </m:r>
                            </m:e>
                            <m:sub>
                              <m:r>
                                <w:rPr>
                                  <w:rFonts w:ascii="Cambria Math" w:hAnsi="Cambria Math"/>
                                </w:rPr>
                                <m:t>3</m:t>
                              </m:r>
                            </m:sub>
                          </m:sSub>
                          <m:sSub>
                            <m:sSubPr>
                              <m:ctrlPr>
                                <w:rPr>
                                  <w:rFonts w:ascii="Cambria Math" w:hAnsi="Cambria Math"/>
                                  <w:i/>
                                  <w:iCs/>
                                </w:rPr>
                              </m:ctrlPr>
                            </m:sSubPr>
                            <m:e>
                              <m:r>
                                <w:rPr>
                                  <w:rFonts w:ascii="Cambria Math" w:hAnsi="Cambria Math"/>
                                </w:rPr>
                                <m:t>0</m:t>
                              </m:r>
                            </m:e>
                            <m:sub>
                              <m:r>
                                <w:rPr>
                                  <w:rFonts w:ascii="Cambria Math" w:hAnsi="Cambria Math"/>
                                </w:rPr>
                                <m:t>3</m:t>
                              </m:r>
                            </m:sub>
                          </m:sSub>
                        </m:den>
                      </m:f>
                    </m:sup>
                  </m:sSup>
                  <m:r>
                    <m:rPr>
                      <m:sty m:val="bi"/>
                    </m:rPr>
                    <w:rPr>
                      <w:rFonts w:ascii="Cambria Math" w:hAnsi="Cambria Math"/>
                      <w:lang w:val="sv-SE"/>
                    </w:rPr>
                    <m:t>w</m:t>
                  </m:r>
                </m:e>
                <m:sub>
                  <m:sSub>
                    <m:sSubPr>
                      <m:ctrlPr>
                        <w:rPr>
                          <w:rFonts w:ascii="Cambria Math" w:hAnsi="Cambria Math"/>
                          <w:i/>
                          <w:iCs/>
                        </w:rPr>
                      </m:ctrlPr>
                    </m:sSubPr>
                    <m:e>
                      <m:r>
                        <w:rPr>
                          <w:rFonts w:ascii="Cambria Math" w:hAnsi="Cambria Math"/>
                          <w:lang w:val="sv-SE"/>
                        </w:rPr>
                        <m:t>N</m:t>
                      </m:r>
                    </m:e>
                    <m:sub>
                      <m:r>
                        <w:rPr>
                          <w:rFonts w:ascii="Cambria Math" w:hAnsi="Cambria Math"/>
                          <w:lang w:val="en-US"/>
                        </w:rPr>
                        <m:t>3</m:t>
                      </m:r>
                    </m:sub>
                  </m:sSub>
                  <m:r>
                    <w:rPr>
                      <w:rFonts w:ascii="Cambria Math" w:hAnsi="Cambria Math"/>
                      <w:lang w:val="en-US"/>
                    </w:rPr>
                    <m:t>-1</m:t>
                  </m:r>
                </m:sub>
              </m:sSub>
            </m:e>
          </m:d>
        </m:oMath>
      </m:oMathPara>
    </w:p>
    <w:p w14:paraId="76F80777" w14:textId="77777777" w:rsidR="00416C18" w:rsidRDefault="00416C18" w:rsidP="00416C18">
      <w:pPr>
        <w:pStyle w:val="Observation"/>
        <w:numPr>
          <w:ilvl w:val="0"/>
          <w:numId w:val="32"/>
        </w:numPr>
        <w:ind w:left="1701" w:hanging="1701"/>
        <w:textAlignment w:val="auto"/>
        <w:rPr>
          <w:lang w:val="en-US"/>
        </w:rPr>
      </w:pPr>
      <w:bookmarkStart w:id="28" w:name="_Toc4743120"/>
      <w:bookmarkStart w:id="29" w:name="_Toc4774165"/>
      <w:bookmarkStart w:id="30" w:name="_Toc4774477"/>
      <w:bookmarkStart w:id="31" w:name="_Toc4777955"/>
      <w:r>
        <w:rPr>
          <w:lang w:val="en-US"/>
        </w:rPr>
        <w:t>Oversampling the FD-basis cannot lead to better performance, and feeding back an oversampling index is therefore redundant</w:t>
      </w:r>
      <w:bookmarkEnd w:id="28"/>
      <w:bookmarkEnd w:id="29"/>
      <w:bookmarkEnd w:id="30"/>
      <w:bookmarkEnd w:id="31"/>
    </w:p>
    <w:p w14:paraId="24435725" w14:textId="77777777" w:rsidR="00416C18" w:rsidRDefault="00416C18" w:rsidP="00416C18">
      <w:pPr>
        <w:pStyle w:val="Observation"/>
        <w:numPr>
          <w:ilvl w:val="0"/>
          <w:numId w:val="32"/>
        </w:numPr>
        <w:ind w:left="1701" w:hanging="1701"/>
        <w:textAlignment w:val="auto"/>
        <w:rPr>
          <w:lang w:val="en-US"/>
        </w:rPr>
      </w:pPr>
      <w:bookmarkStart w:id="32" w:name="_Toc4743121"/>
      <w:bookmarkStart w:id="33" w:name="_Toc4774166"/>
      <w:bookmarkStart w:id="34" w:name="_Toc4774478"/>
      <w:bookmarkStart w:id="35" w:name="_Toc4777956"/>
      <w:r>
        <w:rPr>
          <w:lang w:val="en-US"/>
        </w:rPr>
        <w:t>The UE can apply arbitrary phase rotations on the columns of the beam-frequency matrix prior to FD-transformation in order to sparsify the coefficients in the transformed domain, including applying linear phase ramp corresponding to arbitrarily high oversampling. However, this phase rotation does not need to be reported.</w:t>
      </w:r>
      <w:bookmarkEnd w:id="32"/>
      <w:bookmarkEnd w:id="33"/>
      <w:bookmarkEnd w:id="34"/>
      <w:bookmarkEnd w:id="35"/>
    </w:p>
    <w:p w14:paraId="071757D9" w14:textId="5A302685" w:rsidR="003A4CFA" w:rsidRDefault="00C63BA9" w:rsidP="008D02C8">
      <w:pPr>
        <w:rPr>
          <w:lang w:val="en-US"/>
        </w:rPr>
      </w:pPr>
      <w:r>
        <w:rPr>
          <w:lang w:val="en-US"/>
        </w:rPr>
        <w:t xml:space="preserve">Based on this analysis, it is clear that </w:t>
      </w:r>
      <w:r w:rsidR="00426F16">
        <w:rPr>
          <w:lang w:val="en-US"/>
        </w:rPr>
        <w:t>including oversampling for the FD-basis is redundant and critically sampled DFT basis should be used:</w:t>
      </w:r>
    </w:p>
    <w:p w14:paraId="2A051363" w14:textId="77777777" w:rsidR="00C63BA9" w:rsidRDefault="00C63BA9" w:rsidP="00C63BA9">
      <w:pPr>
        <w:pStyle w:val="Proposal"/>
        <w:numPr>
          <w:ilvl w:val="0"/>
          <w:numId w:val="44"/>
        </w:numPr>
        <w:tabs>
          <w:tab w:val="clear" w:pos="1304"/>
        </w:tabs>
        <w:ind w:left="1701" w:hanging="1701"/>
        <w:textAlignment w:val="auto"/>
        <w:rPr>
          <w:lang w:val="en-US"/>
        </w:rPr>
      </w:pPr>
      <w:bookmarkStart w:id="36" w:name="_Toc4743155"/>
      <w:bookmarkStart w:id="37" w:name="_Toc4774170"/>
      <w:bookmarkStart w:id="38" w:name="_Toc4774442"/>
      <w:bookmarkStart w:id="39" w:name="_Toc4774462"/>
      <w:bookmarkStart w:id="40" w:name="_Toc4777966"/>
      <w:r>
        <w:rPr>
          <w:lang w:val="en-US"/>
        </w:rPr>
        <w:t xml:space="preserve">Reject the working assumption on oversampling of the FD-basis and support critically sampled FD-basis with </w:t>
      </w:r>
      <m:oMath>
        <m:sSub>
          <m:sSubPr>
            <m:ctrlPr>
              <w:rPr>
                <w:rFonts w:ascii="Cambria Math" w:hAnsi="Cambria Math"/>
                <w:i/>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=1</m:t>
        </m:r>
      </m:oMath>
      <w:bookmarkEnd w:id="36"/>
      <w:bookmarkEnd w:id="37"/>
      <w:bookmarkEnd w:id="38"/>
      <w:bookmarkEnd w:id="39"/>
      <w:bookmarkEnd w:id="40"/>
    </w:p>
    <w:p w14:paraId="19F020AF" w14:textId="77777777" w:rsidR="00C63BA9" w:rsidRPr="00F35678" w:rsidRDefault="00C63BA9" w:rsidP="008D02C8">
      <w:pPr>
        <w:rPr>
          <w:lang w:val="en-US"/>
        </w:rPr>
      </w:pPr>
    </w:p>
    <w:p w14:paraId="46D90165" w14:textId="52943020" w:rsidR="000C0CAB" w:rsidRDefault="000C0CAB" w:rsidP="000C0CAB">
      <w:pPr>
        <w:pStyle w:val="Heading1"/>
      </w:pPr>
      <w:r>
        <w:t>Reducing supported combinations of compression parameters</w:t>
      </w:r>
    </w:p>
    <w:p w14:paraId="1A071E9C" w14:textId="638B95FD" w:rsidR="008D02C8" w:rsidRDefault="00BB136E" w:rsidP="008D02C8">
      <w:r>
        <w:t>As is also further elaborated in our companion contribution</w:t>
      </w:r>
      <w:r w:rsidRPr="00BB136E">
        <w:t xml:space="preserve"> </w:t>
      </w:r>
      <w:r>
        <w:t>[4</w:t>
      </w:r>
      <w:r w:rsidR="009C53D1">
        <w:t>] and</w:t>
      </w:r>
      <w:r>
        <w:t xml:space="preserve"> can also be observed from </w:t>
      </w:r>
      <w:r>
        <w:fldChar w:fldCharType="begin"/>
      </w:r>
      <w:r>
        <w:instrText xml:space="preserve"> REF _Ref4772875 \h </w:instrText>
      </w:r>
      <w:r>
        <w:fldChar w:fldCharType="separate"/>
      </w:r>
      <w:r w:rsidR="00DE792D">
        <w:t xml:space="preserve">Figure </w:t>
      </w:r>
      <w:r w:rsidR="00DE792D">
        <w:rPr>
          <w:noProof/>
        </w:rPr>
        <w:t>3</w:t>
      </w:r>
      <w:r>
        <w:fldChar w:fldCharType="end"/>
      </w:r>
      <w:r>
        <w:t xml:space="preserve">, some combinations of compression parameters do not offer favourable </w:t>
      </w:r>
      <w:r w:rsidR="000155C8">
        <w:t xml:space="preserve">performance overhead </w:t>
      </w:r>
      <w:r w:rsidR="009C53D1">
        <w:t>trade-off</w:t>
      </w:r>
      <w:r w:rsidR="000155C8">
        <w:t>.</w:t>
      </w:r>
      <w:r w:rsidR="009C53D1">
        <w:t xml:space="preserve"> The following observations can be made:</w:t>
      </w:r>
    </w:p>
    <w:p w14:paraId="0629C97D" w14:textId="77777777" w:rsidR="000155C8" w:rsidRDefault="000155C8" w:rsidP="000155C8">
      <w:pPr>
        <w:pStyle w:val="Observation"/>
        <w:numPr>
          <w:ilvl w:val="0"/>
          <w:numId w:val="32"/>
        </w:numPr>
        <w:ind w:left="1701" w:hanging="1701"/>
        <w:textAlignment w:val="auto"/>
      </w:pPr>
      <w:bookmarkStart w:id="41" w:name="_Toc4763717"/>
      <w:bookmarkStart w:id="42" w:name="_Toc4774167"/>
      <w:bookmarkStart w:id="43" w:name="_Toc4774479"/>
      <w:bookmarkStart w:id="44" w:name="_Toc4777957"/>
      <w:r>
        <w:t xml:space="preserve">For 32Tx, performance of L=2 is not competitive, especially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=(2,</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oMath>
      <w:r>
        <w:t xml:space="preserve"> which has inferior performance to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=(4,</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oMath>
      <w:r>
        <w:t xml:space="preserve"> with similar overhead</w:t>
      </w:r>
      <w:bookmarkEnd w:id="41"/>
      <w:bookmarkEnd w:id="42"/>
      <w:bookmarkEnd w:id="43"/>
      <w:bookmarkEnd w:id="44"/>
    </w:p>
    <w:p w14:paraId="4621C8A6" w14:textId="77777777" w:rsidR="000155C8" w:rsidRDefault="000155C8" w:rsidP="000155C8">
      <w:pPr>
        <w:pStyle w:val="Observation"/>
        <w:numPr>
          <w:ilvl w:val="0"/>
          <w:numId w:val="32"/>
        </w:numPr>
        <w:ind w:left="1701" w:hanging="1701"/>
        <w:textAlignment w:val="auto"/>
      </w:pPr>
      <w:bookmarkStart w:id="45" w:name="_Toc4763719"/>
      <w:bookmarkStart w:id="46" w:name="_Toc4774168"/>
      <w:bookmarkStart w:id="47" w:name="_Toc4774480"/>
      <w:bookmarkStart w:id="48" w:name="_Toc4777958"/>
      <w:r>
        <w:t xml:space="preserve">For 32 Tx, generally </w:t>
      </w:r>
      <m:oMath>
        <m:r>
          <m:rPr>
            <m:sty m:val="bi"/>
          </m:rPr>
          <w:rPr>
            <w:rFonts w:ascii="Cambria Math" w:hAnsi="Cambria Math"/>
          </w:rPr>
          <m:t>β=</m:t>
        </m:r>
        <m:f>
          <m:fPr>
            <m:ctrlPr>
              <w:rPr>
                <w:rFonts w:ascii="Cambria Math" w:hAnsi="Cambria Math"/>
                <w:i/>
              </w:rPr>
            </m:ctrlPr>
          </m:fPr>
          <m:num>
            <m:r>
              <m:rPr>
                <m:sty m:val="bi"/>
              </m:rPr>
              <w:rPr>
                <w:rFonts w:ascii="Cambria Math" w:hAnsi="Cambria Math"/>
              </w:rPr>
              <m:t>3</m:t>
            </m:r>
          </m:num>
          <m:den>
            <m:r>
              <m:rPr>
                <m:sty m:val="bi"/>
              </m:rPr>
              <w:rPr>
                <w:rFonts w:ascii="Cambria Math" w:hAnsi="Cambria Math"/>
              </w:rPr>
              <m:t>4</m:t>
            </m:r>
          </m:den>
        </m:f>
      </m:oMath>
      <w:r>
        <w:t xml:space="preserve"> results in quite limited performance gain compared to </w:t>
      </w:r>
      <m:oMath>
        <m:r>
          <m:rPr>
            <m:sty m:val="bi"/>
          </m:rPr>
          <w:rPr>
            <w:rFonts w:ascii="Cambria Math" w:hAnsi="Cambria Math"/>
          </w:rPr>
          <m:t>β=</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oMath>
      <w:r>
        <w:t>, at the cost of quite a large overhead increase</w:t>
      </w:r>
      <w:bookmarkEnd w:id="45"/>
      <w:bookmarkEnd w:id="46"/>
      <w:bookmarkEnd w:id="47"/>
      <w:bookmarkEnd w:id="48"/>
    </w:p>
    <w:p w14:paraId="74E01665" w14:textId="77777777" w:rsidR="001D2404" w:rsidRDefault="001D2404" w:rsidP="001D2404">
      <w:r>
        <w:t>Based on these observations, we can conclude that some codebook configurations likely can be pruned since they do not are not competitive enough. We make the following proposals:</w:t>
      </w:r>
    </w:p>
    <w:p w14:paraId="53C81128" w14:textId="77777777" w:rsidR="001D2404" w:rsidRDefault="001D2404" w:rsidP="001D2404">
      <w:pPr>
        <w:pStyle w:val="Proposal"/>
        <w:numPr>
          <w:ilvl w:val="0"/>
          <w:numId w:val="44"/>
        </w:numPr>
        <w:tabs>
          <w:tab w:val="clear" w:pos="1304"/>
        </w:tabs>
        <w:ind w:left="1701" w:hanging="1701"/>
        <w:textAlignment w:val="auto"/>
      </w:pPr>
      <w:bookmarkStart w:id="49" w:name="_Toc4763721"/>
      <w:bookmarkStart w:id="50" w:name="_Toc4774171"/>
      <w:bookmarkStart w:id="51" w:name="_Toc4774443"/>
      <w:bookmarkStart w:id="52" w:name="_Toc4774463"/>
      <w:bookmarkStart w:id="53" w:name="_Toc4777967"/>
      <w:r>
        <w:t xml:space="preserve">Consider not supporting L=2, at least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=(2,</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oMath>
      <w:r>
        <w:t xml:space="preserve"> can be removed</w:t>
      </w:r>
      <w:bookmarkEnd w:id="49"/>
      <w:bookmarkEnd w:id="50"/>
      <w:bookmarkEnd w:id="51"/>
      <w:bookmarkEnd w:id="52"/>
      <w:bookmarkEnd w:id="53"/>
    </w:p>
    <w:p w14:paraId="3D471E19" w14:textId="77777777" w:rsidR="001D2404" w:rsidRDefault="001D2404" w:rsidP="001D2404">
      <w:pPr>
        <w:pStyle w:val="Proposal"/>
        <w:numPr>
          <w:ilvl w:val="0"/>
          <w:numId w:val="44"/>
        </w:numPr>
        <w:tabs>
          <w:tab w:val="clear" w:pos="1304"/>
        </w:tabs>
        <w:ind w:left="1701" w:hanging="1701"/>
        <w:textAlignment w:val="auto"/>
      </w:pPr>
      <w:bookmarkStart w:id="54" w:name="_Toc4763722"/>
      <w:bookmarkStart w:id="55" w:name="_Toc4774172"/>
      <w:bookmarkStart w:id="56" w:name="_Toc4774444"/>
      <w:bookmarkStart w:id="57" w:name="_Toc4774464"/>
      <w:bookmarkStart w:id="58" w:name="_Toc4777968"/>
      <w:r>
        <w:t xml:space="preserve">Consider not supporting </w:t>
      </w:r>
      <m:oMath>
        <m:r>
          <m:rPr>
            <m:sty m:val="bi"/>
          </m:rPr>
          <w:rPr>
            <w:rFonts w:ascii="Cambria Math" w:hAnsi="Cambria Math"/>
          </w:rPr>
          <m:t>β=</m:t>
        </m:r>
        <m:f>
          <m:fPr>
            <m:ctrlPr>
              <w:rPr>
                <w:rFonts w:ascii="Cambria Math" w:hAnsi="Cambria Math"/>
                <w:i/>
              </w:rPr>
            </m:ctrlPr>
          </m:fPr>
          <m:num>
            <m:r>
              <m:rPr>
                <m:sty m:val="bi"/>
              </m:rPr>
              <w:rPr>
                <w:rFonts w:ascii="Cambria Math" w:hAnsi="Cambria Math"/>
              </w:rPr>
              <m:t>3</m:t>
            </m:r>
          </m:num>
          <m:den>
            <m:r>
              <m:rPr>
                <m:sty m:val="bi"/>
              </m:rPr>
              <w:rPr>
                <w:rFonts w:ascii="Cambria Math" w:hAnsi="Cambria Math"/>
              </w:rPr>
              <m:t>4</m:t>
            </m:r>
          </m:den>
        </m:f>
      </m:oMath>
      <w:r>
        <w:t>, since it has limited performance gain</w:t>
      </w:r>
      <w:bookmarkEnd w:id="54"/>
      <w:bookmarkEnd w:id="55"/>
      <w:bookmarkEnd w:id="56"/>
      <w:bookmarkEnd w:id="57"/>
      <w:bookmarkEnd w:id="58"/>
    </w:p>
    <w:p w14:paraId="09F42D88" w14:textId="77777777" w:rsidR="000155C8" w:rsidRPr="00BB136E" w:rsidRDefault="000155C8" w:rsidP="008D02C8"/>
    <w:p w14:paraId="355A706C" w14:textId="7118EEE7" w:rsidR="000C0CAB" w:rsidRDefault="000C0CAB" w:rsidP="000C0CAB">
      <w:pPr>
        <w:pStyle w:val="Heading1"/>
      </w:pPr>
      <w:r>
        <w:t xml:space="preserve">Value of N3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p>
    <w:p w14:paraId="64920AD4" w14:textId="40E8E75D" w:rsidR="00F535EF" w:rsidRDefault="000A65B0" w:rsidP="00F535EF">
      <w:r>
        <w:t>This issue is discussed in our companion contribution [3]. Where we observed the follow</w:t>
      </w:r>
      <w:r w:rsidR="00396677">
        <w:t>ing:</w:t>
      </w:r>
    </w:p>
    <w:p w14:paraId="1318B9F2" w14:textId="77777777" w:rsidR="00E302B1" w:rsidRDefault="00E302B1" w:rsidP="00E302B1">
      <w:pPr>
        <w:pStyle w:val="Observation"/>
        <w:numPr>
          <w:ilvl w:val="0"/>
          <w:numId w:val="32"/>
        </w:numPr>
        <w:ind w:left="1701" w:hanging="1701"/>
        <w:textAlignment w:val="auto"/>
        <w:rPr>
          <w:lang w:val="en-US"/>
        </w:rPr>
      </w:pPr>
      <w:bookmarkStart w:id="59" w:name="_Toc4774291"/>
      <w:bookmarkStart w:id="60" w:name="_Toc4777959"/>
      <w:r>
        <w:rPr>
          <w:lang w:val="en-US"/>
        </w:rPr>
        <w:t>DFT padding results in around 2% loss compared to No DFT padding</w:t>
      </w:r>
      <w:bookmarkEnd w:id="59"/>
      <w:bookmarkEnd w:id="60"/>
    </w:p>
    <w:p w14:paraId="22A97760" w14:textId="44C85AA9" w:rsidR="00F535EF" w:rsidRPr="00E302B1" w:rsidRDefault="00E302B1" w:rsidP="00C07837">
      <w:pPr>
        <w:pStyle w:val="Observation"/>
        <w:numPr>
          <w:ilvl w:val="0"/>
          <w:numId w:val="32"/>
        </w:numPr>
        <w:ind w:left="1701" w:hanging="1701"/>
        <w:textAlignment w:val="auto"/>
        <w:rPr>
          <w:noProof/>
          <w:szCs w:val="22"/>
          <w:lang w:val="en-US"/>
        </w:rPr>
      </w:pPr>
      <w:bookmarkStart w:id="61" w:name="_Toc4774292"/>
      <w:bookmarkStart w:id="62" w:name="_Toc4777960"/>
      <w:r w:rsidRPr="00E302B1">
        <w:rPr>
          <w:lang w:val="en-US"/>
        </w:rPr>
        <w:t>Segmentation approach has inferior performance/overhead tradeoff compared to approaches without segmentation</w:t>
      </w:r>
      <w:bookmarkEnd w:id="61"/>
      <w:bookmarkEnd w:id="62"/>
      <w:r w:rsidRPr="00E302B1">
        <w:rPr>
          <w:lang w:val="en-US"/>
        </w:rPr>
        <w:t xml:space="preserve"> </w:t>
      </w:r>
    </w:p>
    <w:p w14:paraId="383E79B5" w14:textId="2DAA153C" w:rsidR="00E95B1A" w:rsidRDefault="00E95B1A" w:rsidP="00397F07">
      <w:pPr>
        <w:pStyle w:val="Observation"/>
        <w:numPr>
          <w:ilvl w:val="0"/>
          <w:numId w:val="0"/>
        </w:numPr>
        <w:ind w:left="1701"/>
        <w:textAlignment w:val="auto"/>
        <w:rPr>
          <w:b w:val="0"/>
          <w:noProof/>
          <w:szCs w:val="22"/>
          <w:lang w:val="en-US"/>
        </w:rPr>
      </w:pPr>
    </w:p>
    <w:p w14:paraId="4FCFF603" w14:textId="0E21E409" w:rsidR="00E95B1A" w:rsidRDefault="00E95B1A" w:rsidP="00E95B1A">
      <w:pPr>
        <w:rPr>
          <w:noProof/>
          <w:szCs w:val="22"/>
          <w:lang w:val="en-US"/>
        </w:rPr>
      </w:pPr>
      <w:r>
        <w:t xml:space="preserve">Based on these observations, we propose </w:t>
      </w:r>
      <w:r w:rsidR="0020762A">
        <w:t>a compromise solution:</w:t>
      </w:r>
    </w:p>
    <w:p w14:paraId="5EEF9D4C" w14:textId="20D0B753" w:rsidR="00397F07" w:rsidRDefault="00397F07" w:rsidP="00397F07">
      <w:pPr>
        <w:pStyle w:val="Proposal"/>
        <w:numPr>
          <w:ilvl w:val="0"/>
          <w:numId w:val="44"/>
        </w:numPr>
        <w:tabs>
          <w:tab w:val="clear" w:pos="1304"/>
        </w:tabs>
        <w:ind w:left="1701" w:hanging="1701"/>
        <w:textAlignment w:val="auto"/>
      </w:pPr>
      <w:bookmarkStart w:id="63" w:name="_Toc4774293"/>
      <w:bookmarkStart w:id="64" w:name="_Toc1201312"/>
      <w:bookmarkStart w:id="65" w:name="_Toc4774445"/>
      <w:bookmarkStart w:id="66" w:name="_Toc4774465"/>
      <w:bookmarkStart w:id="67" w:name="_Toc4777969"/>
      <w:r>
        <w:rPr>
          <w:rFonts w:eastAsia="Malgun Gothic"/>
        </w:rPr>
        <w:t xml:space="preserve">When </w:t>
      </w:r>
      <w:r>
        <w:fldChar w:fldCharType="begin"/>
      </w:r>
      <w:r>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rPr>
          <w:rFonts w:eastAsia="Malgun Gothic"/>
          <w:lang w:val="en-US" w:eastAsia="ko-KR"/>
        </w:rPr>
        <w:instrText xml:space="preserve"> </w:instrText>
      </w:r>
      <w: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fldChar w:fldCharType="end"/>
      </w:r>
      <w:r>
        <w:rPr>
          <w:rFonts w:eastAsia="Malgun Gothic"/>
          <w:lang w:val="en-US" w:eastAsia="ko-KR"/>
        </w:rPr>
        <w:t xml:space="preserve">,support free selection of </w:t>
      </w:r>
      <w:r>
        <w:rPr>
          <w:rFonts w:eastAsia="Malgun Gothic"/>
        </w:rPr>
        <w:t>N</w:t>
      </w:r>
      <w:r>
        <w:rPr>
          <w:rFonts w:eastAsia="Malgun Gothic"/>
          <w:vertAlign w:val="subscript"/>
        </w:rPr>
        <w:t>3</w:t>
      </w:r>
      <w:r>
        <w:rPr>
          <w:rFonts w:eastAsia="Malgun Gothic"/>
          <w:lang w:val="en-US" w:eastAsia="ko-KR"/>
        </w:rPr>
        <w:t xml:space="preserve">. For </w: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i"/>
          </m:rPr>
          <w:rPr>
            <w:rFonts w:ascii="Cambria Math" w:eastAsia="Malgun Gothic" w:hAnsi="Cambria Math" w:cs="Batang"/>
          </w:rPr>
          <m:t>&gt;19</m:t>
        </m:r>
      </m:oMath>
      <w:r>
        <w:rPr>
          <w:rFonts w:eastAsia="Malgun Gothic"/>
          <w:lang w:val="en-US" w:eastAsia="ko-KR"/>
        </w:rPr>
        <w:t xml:space="preserve"> </w:t>
      </w:r>
      <w:r>
        <w:fldChar w:fldCharType="begin"/>
      </w:r>
      <w:r>
        <w:rPr>
          <w:rFonts w:eastAsia="Malgun Gothic"/>
        </w:rPr>
        <w:instrText xml:space="preserve"> QUOTE </w:instrText>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rPr>
          <w:rFonts w:eastAsia="Malgun Gothic"/>
        </w:rPr>
        <w:instrText xml:space="preserve"> </w:instrText>
      </w:r>
      <w:r>
        <w:fldChar w:fldCharType="separate"/>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fldChar w:fldCharType="end"/>
      </w:r>
      <w:r>
        <w:rPr>
          <w:rFonts w:eastAsia="Malgun Gothic"/>
        </w:rPr>
        <w:t xml:space="preserve"> is selected as the smallest multiple of 2, 3, or 5 which is  </w:t>
      </w:r>
      <w:r>
        <w:fldChar w:fldCharType="begin"/>
      </w:r>
      <w:r>
        <w:rPr>
          <w:rFonts w:eastAsia="Malgun Gothic"/>
        </w:rPr>
        <w:instrText xml:space="preserve"> QUOTE </w:instrText>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r>
        <w:rPr>
          <w:rFonts w:eastAsia="Malgun Gothic"/>
        </w:rPr>
        <w:instrText xml:space="preserve"> </w:instrText>
      </w:r>
      <w:r>
        <w:fldChar w:fldCharType="separate"/>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bookmarkEnd w:id="63"/>
      <w:bookmarkEnd w:id="64"/>
      <w:bookmarkEnd w:id="65"/>
      <w:bookmarkEnd w:id="66"/>
      <w:bookmarkEnd w:id="67"/>
      <w:r>
        <w:rPr>
          <w:rFonts w:eastAsia="Malgun Gothic"/>
        </w:rPr>
        <w:fldChar w:fldCharType="end"/>
      </w:r>
    </w:p>
    <w:p w14:paraId="2C18B9A1" w14:textId="2034268C" w:rsidR="00705CCB" w:rsidRPr="00705CCB" w:rsidRDefault="00705CCB" w:rsidP="00E95B1A"/>
    <w:p w14:paraId="0EC0E72D" w14:textId="4BCCA66D" w:rsidR="00C22138" w:rsidRDefault="003208C9" w:rsidP="00C22138">
      <w:pPr>
        <w:pStyle w:val="Heading1"/>
        <w:rPr>
          <w:lang w:val="en-US"/>
        </w:rPr>
      </w:pPr>
      <w:r>
        <w:rPr>
          <w:lang w:val="en-US"/>
        </w:rPr>
        <w:lastRenderedPageBreak/>
        <w:t xml:space="preserve">Conclusion </w:t>
      </w:r>
    </w:p>
    <w:p w14:paraId="325B8766" w14:textId="77777777" w:rsidR="00C25FB3" w:rsidRDefault="00C25FB3" w:rsidP="00C25FB3">
      <w:r>
        <w:t>Based on the discussion in this contribution we make the following observations:</w:t>
      </w:r>
    </w:p>
    <w:p w14:paraId="4746A258" w14:textId="16917078" w:rsidR="00DE792D" w:rsidRDefault="00C25FB3">
      <w:pPr>
        <w:pStyle w:val="TOC1"/>
        <w:rPr>
          <w:rFonts w:asciiTheme="minorHAnsi" w:eastAsiaTheme="minorEastAsia" w:hAnsiTheme="minorHAnsi" w:cstheme="minorBidi"/>
          <w:b w:val="0"/>
          <w:sz w:val="22"/>
          <w:lang w:val="sv-SE" w:eastAsia="sv-SE"/>
        </w:rPr>
      </w:pPr>
      <w:r>
        <w:rPr>
          <w:noProof w:val="0"/>
          <w:szCs w:val="20"/>
          <w:highlight w:val="yellow"/>
          <w:lang w:val="en-GB"/>
        </w:rPr>
        <w:fldChar w:fldCharType="begin"/>
      </w:r>
      <w:r>
        <w:rPr>
          <w:highlight w:val="yellow"/>
        </w:rPr>
        <w:instrText xml:space="preserve"> TOC \n \h \z \t "Observation;1" </w:instrText>
      </w:r>
      <w:r>
        <w:rPr>
          <w:noProof w:val="0"/>
          <w:szCs w:val="20"/>
          <w:highlight w:val="yellow"/>
          <w:lang w:val="en-GB"/>
        </w:rPr>
        <w:fldChar w:fldCharType="separate"/>
      </w:r>
      <w:hyperlink w:anchor="_Toc4777947" w:history="1">
        <w:r w:rsidR="00DE792D" w:rsidRPr="00AD0A8D">
          <w:rPr>
            <w:rStyle w:val="Hyperlink"/>
          </w:rPr>
          <w:t>Observation 1</w:t>
        </w:r>
        <w:r w:rsidR="00DE792D">
          <w:rPr>
            <w:rFonts w:asciiTheme="minorHAnsi" w:eastAsiaTheme="minorEastAsia" w:hAnsiTheme="minorHAnsi" w:cstheme="minorBidi"/>
            <w:b w:val="0"/>
            <w:sz w:val="22"/>
            <w:lang w:val="sv-SE" w:eastAsia="sv-SE"/>
          </w:rPr>
          <w:tab/>
        </w:r>
        <w:r w:rsidR="00DE792D" w:rsidRPr="00AD0A8D">
          <w:rPr>
            <w:rStyle w:val="Hyperlink"/>
          </w:rPr>
          <w:t xml:space="preserve">To reduce overhead for RI=3,4 by only adapting </w:t>
        </w:r>
        <m:oMath>
          <m:r>
            <m:rPr>
              <m:sty m:val="bi"/>
            </m:rPr>
            <w:rPr>
              <w:rStyle w:val="Hyperlink"/>
              <w:rFonts w:ascii="Cambria Math" w:hAnsi="Cambria Math"/>
            </w:rPr>
            <m:t>β</m:t>
          </m:r>
        </m:oMath>
        <w:r w:rsidR="00DE792D" w:rsidRPr="00AD0A8D">
          <w:rPr>
            <w:rStyle w:val="Hyperlink"/>
          </w:rPr>
          <w:t xml:space="preserve"> and not reducing the FD/SD basis will cause unnecessarily large overhead due to bitmap reporting.</w:t>
        </w:r>
      </w:hyperlink>
    </w:p>
    <w:p w14:paraId="7BCEEE38" w14:textId="2D09F073" w:rsidR="00DE792D" w:rsidRDefault="00B85FD6">
      <w:pPr>
        <w:pStyle w:val="TOC1"/>
        <w:rPr>
          <w:rFonts w:asciiTheme="minorHAnsi" w:eastAsiaTheme="minorEastAsia" w:hAnsiTheme="minorHAnsi" w:cstheme="minorBidi"/>
          <w:b w:val="0"/>
          <w:sz w:val="22"/>
          <w:lang w:val="sv-SE" w:eastAsia="sv-SE"/>
        </w:rPr>
      </w:pPr>
      <w:hyperlink w:anchor="_Toc4777948" w:history="1">
        <w:r w:rsidR="00DE792D" w:rsidRPr="00AD0A8D">
          <w:rPr>
            <w:rStyle w:val="Hyperlink"/>
            <w:lang w:val="en-US"/>
          </w:rPr>
          <w:t>Observation 2</w:t>
        </w:r>
        <w:r w:rsidR="00DE792D">
          <w:rPr>
            <w:rFonts w:asciiTheme="minorHAnsi" w:eastAsiaTheme="minorEastAsia" w:hAnsiTheme="minorHAnsi" w:cstheme="minorBidi"/>
            <w:b w:val="0"/>
            <w:sz w:val="22"/>
            <w:lang w:val="sv-SE" w:eastAsia="sv-SE"/>
          </w:rPr>
          <w:tab/>
        </w:r>
        <w:r w:rsidR="00DE792D" w:rsidRPr="00AD0A8D">
          <w:rPr>
            <w:rStyle w:val="Hyperlink"/>
            <w:lang w:val="en-US"/>
          </w:rPr>
          <w:t>Small gains for Type II extension compared to Type I for high rank codebook</w:t>
        </w:r>
      </w:hyperlink>
    </w:p>
    <w:p w14:paraId="4C95DBE5" w14:textId="2FA64AA4" w:rsidR="00DE792D" w:rsidRDefault="00B85FD6">
      <w:pPr>
        <w:pStyle w:val="TOC1"/>
        <w:rPr>
          <w:rFonts w:asciiTheme="minorHAnsi" w:eastAsiaTheme="minorEastAsia" w:hAnsiTheme="minorHAnsi" w:cstheme="minorBidi"/>
          <w:b w:val="0"/>
          <w:sz w:val="22"/>
          <w:lang w:val="sv-SE" w:eastAsia="sv-SE"/>
        </w:rPr>
      </w:pPr>
      <w:hyperlink w:anchor="_Toc4777949" w:history="1">
        <w:r w:rsidR="00DE792D" w:rsidRPr="00AD0A8D">
          <w:rPr>
            <w:rStyle w:val="Hyperlink"/>
            <w:lang w:val="en-US"/>
          </w:rPr>
          <w:t>Observation 3</w:t>
        </w:r>
        <w:r w:rsidR="00DE792D">
          <w:rPr>
            <w:rFonts w:asciiTheme="minorHAnsi" w:eastAsiaTheme="minorEastAsia" w:hAnsiTheme="minorHAnsi" w:cstheme="minorBidi"/>
            <w:b w:val="0"/>
            <w:sz w:val="22"/>
            <w:lang w:val="sv-SE" w:eastAsia="sv-SE"/>
          </w:rPr>
          <w:tab/>
        </w:r>
        <w:r w:rsidR="00DE792D" w:rsidRPr="00AD0A8D">
          <w:rPr>
            <w:rStyle w:val="Hyperlink"/>
            <w:lang w:val="en-US"/>
          </w:rPr>
          <w:t>Reducing both FD-basis size and number of NZC coefficients K0 results in almost no performance loss and good reduction in overhead compared to simple extension</w:t>
        </w:r>
      </w:hyperlink>
    </w:p>
    <w:p w14:paraId="2C21BC48" w14:textId="67133033" w:rsidR="00DE792D" w:rsidRDefault="00B85FD6">
      <w:pPr>
        <w:pStyle w:val="TOC1"/>
        <w:rPr>
          <w:rFonts w:asciiTheme="minorHAnsi" w:eastAsiaTheme="minorEastAsia" w:hAnsiTheme="minorHAnsi" w:cstheme="minorBidi"/>
          <w:b w:val="0"/>
          <w:sz w:val="22"/>
          <w:lang w:val="sv-SE" w:eastAsia="sv-SE"/>
        </w:rPr>
      </w:pPr>
      <w:hyperlink w:anchor="_Toc4777950" w:history="1">
        <w:r w:rsidR="00DE792D" w:rsidRPr="00AD0A8D">
          <w:rPr>
            <w:rStyle w:val="Hyperlink"/>
            <w:lang w:val="en-US"/>
          </w:rPr>
          <w:t>Observation 4</w:t>
        </w:r>
        <w:r w:rsidR="00DE792D">
          <w:rPr>
            <w:rFonts w:asciiTheme="minorHAnsi" w:eastAsiaTheme="minorEastAsia" w:hAnsiTheme="minorHAnsi" w:cstheme="minorBidi"/>
            <w:b w:val="0"/>
            <w:sz w:val="22"/>
            <w:lang w:val="sv-SE" w:eastAsia="sv-SE"/>
          </w:rPr>
          <w:tab/>
        </w:r>
        <w:r w:rsidR="00DE792D" w:rsidRPr="00AD0A8D">
          <w:rPr>
            <w:rStyle w:val="Hyperlink"/>
            <w:lang w:val="en-US"/>
          </w:rPr>
          <w:t>Reducing SD-basis size yields substantial loss due to problem with layer orthogonality</w:t>
        </w:r>
      </w:hyperlink>
    </w:p>
    <w:p w14:paraId="2540D2B3" w14:textId="69396A59" w:rsidR="00DE792D" w:rsidRDefault="00B85FD6">
      <w:pPr>
        <w:pStyle w:val="TOC1"/>
        <w:rPr>
          <w:rFonts w:asciiTheme="minorHAnsi" w:eastAsiaTheme="minorEastAsia" w:hAnsiTheme="minorHAnsi" w:cstheme="minorBidi"/>
          <w:b w:val="0"/>
          <w:sz w:val="22"/>
          <w:lang w:val="sv-SE" w:eastAsia="sv-SE"/>
        </w:rPr>
      </w:pPr>
      <w:hyperlink w:anchor="_Toc4777951" w:history="1">
        <w:r w:rsidR="00DE792D" w:rsidRPr="00AD0A8D">
          <w:rPr>
            <w:rStyle w:val="Hyperlink"/>
          </w:rPr>
          <w:t>Observation 1</w:t>
        </w:r>
        <w:r w:rsidR="00DE792D">
          <w:rPr>
            <w:rFonts w:asciiTheme="minorHAnsi" w:eastAsiaTheme="minorEastAsia" w:hAnsiTheme="minorHAnsi" w:cstheme="minorBidi"/>
            <w:b w:val="0"/>
            <w:sz w:val="22"/>
            <w:lang w:val="sv-SE" w:eastAsia="sv-SE"/>
          </w:rPr>
          <w:tab/>
        </w:r>
        <w:r w:rsidR="00DE792D" w:rsidRPr="00AD0A8D">
          <w:rPr>
            <w:rStyle w:val="Hyperlink"/>
          </w:rPr>
          <w:t xml:space="preserve">For 32 Tx and L=6, </w:t>
        </w:r>
        <m:oMath>
          <m:r>
            <m:rPr>
              <m:sty m:val="bi"/>
            </m:rPr>
            <w:rPr>
              <w:rStyle w:val="Hyperlink"/>
              <w:rFonts w:ascii="Cambria Math" w:hAnsi="Cambria Math"/>
            </w:rPr>
            <m:t>L,p=(6,14)</m:t>
          </m:r>
        </m:oMath>
        <w:r w:rsidR="00DE792D" w:rsidRPr="00AD0A8D">
          <w:rPr>
            <w:rStyle w:val="Hyperlink"/>
          </w:rPr>
          <w:t xml:space="preserve"> has overlapping performance/overhead with L=4. </w:t>
        </w:r>
        <m:oMath>
          <m:r>
            <m:rPr>
              <m:sty m:val="bi"/>
            </m:rPr>
            <w:rPr>
              <w:rStyle w:val="Hyperlink"/>
              <w:rFonts w:ascii="Cambria Math" w:hAnsi="Cambria Math"/>
            </w:rPr>
            <m:t>L,p=(6,12)</m:t>
          </m:r>
        </m:oMath>
        <w:r w:rsidR="00DE792D" w:rsidRPr="00AD0A8D">
          <w:rPr>
            <w:rStyle w:val="Hyperlink"/>
          </w:rPr>
          <w:t xml:space="preserve"> have slightly larger performance than </w:t>
        </w:r>
        <m:oMath>
          <m:r>
            <m:rPr>
              <m:sty m:val="bi"/>
            </m:rPr>
            <w:rPr>
              <w:rStyle w:val="Hyperlink"/>
              <w:rFonts w:ascii="Cambria Math" w:hAnsi="Cambria Math"/>
            </w:rPr>
            <m:t>L,p=(4,12)</m:t>
          </m:r>
        </m:oMath>
        <w:r w:rsidR="00DE792D" w:rsidRPr="00AD0A8D">
          <w:rPr>
            <w:rStyle w:val="Hyperlink"/>
          </w:rPr>
          <w:t xml:space="preserve">, however only the configuration </w:t>
        </w:r>
        <m:oMath>
          <m:r>
            <m:rPr>
              <m:sty m:val="bi"/>
            </m:rPr>
            <w:rPr>
              <w:rStyle w:val="Hyperlink"/>
              <w:rFonts w:ascii="Cambria Math" w:hAnsi="Cambria Math"/>
            </w:rPr>
            <m:t>L,p,β=(6,12,14)</m:t>
          </m:r>
        </m:oMath>
        <w:r w:rsidR="00DE792D" w:rsidRPr="00AD0A8D">
          <w:rPr>
            <w:rStyle w:val="Hyperlink"/>
          </w:rPr>
          <w:t xml:space="preserve"> result in feasible overhead (smaller overhead than Rel-15 Type II)</w:t>
        </w:r>
      </w:hyperlink>
    </w:p>
    <w:p w14:paraId="42DFEDE0" w14:textId="6F660422" w:rsidR="00DE792D" w:rsidRDefault="00B85FD6">
      <w:pPr>
        <w:pStyle w:val="TOC1"/>
        <w:rPr>
          <w:rFonts w:asciiTheme="minorHAnsi" w:eastAsiaTheme="minorEastAsia" w:hAnsiTheme="minorHAnsi" w:cstheme="minorBidi"/>
          <w:b w:val="0"/>
          <w:sz w:val="22"/>
          <w:lang w:val="sv-SE" w:eastAsia="sv-SE"/>
        </w:rPr>
      </w:pPr>
      <w:hyperlink w:anchor="_Toc4777952" w:history="1">
        <w:r w:rsidR="00DE792D" w:rsidRPr="00AD0A8D">
          <w:rPr>
            <w:rStyle w:val="Hyperlink"/>
            <w:lang w:val="en-US" w:eastAsia="en-US"/>
          </w:rPr>
          <w:t>Observation 2</w:t>
        </w:r>
        <w:r w:rsidR="00DE792D">
          <w:rPr>
            <w:rFonts w:asciiTheme="minorHAnsi" w:eastAsiaTheme="minorEastAsia" w:hAnsiTheme="minorHAnsi" w:cstheme="minorBidi"/>
            <w:b w:val="0"/>
            <w:sz w:val="22"/>
            <w:lang w:val="sv-SE" w:eastAsia="sv-SE"/>
          </w:rPr>
          <w:tab/>
        </w:r>
        <w:r w:rsidR="00DE792D" w:rsidRPr="00AD0A8D">
          <w:rPr>
            <w:rStyle w:val="Hyperlink"/>
            <w:lang w:val="en-US" w:eastAsia="en-US"/>
          </w:rPr>
          <w:t>The encoding of NNZC indicators must be rank-independent as UCI Part 1 payload is fixed</w:t>
        </w:r>
      </w:hyperlink>
    </w:p>
    <w:p w14:paraId="23B583D7" w14:textId="64E1AEDD" w:rsidR="00DE792D" w:rsidRDefault="00B85FD6">
      <w:pPr>
        <w:pStyle w:val="TOC1"/>
        <w:rPr>
          <w:rFonts w:asciiTheme="minorHAnsi" w:eastAsiaTheme="minorEastAsia" w:hAnsiTheme="minorHAnsi" w:cstheme="minorBidi"/>
          <w:b w:val="0"/>
          <w:sz w:val="22"/>
          <w:lang w:val="sv-SE" w:eastAsia="sv-SE"/>
        </w:rPr>
      </w:pPr>
      <w:hyperlink w:anchor="_Toc4777953" w:history="1">
        <w:r w:rsidR="00DE792D" w:rsidRPr="00AD0A8D">
          <w:rPr>
            <w:rStyle w:val="Hyperlink"/>
            <w:lang w:val="en-US" w:eastAsia="en-US"/>
          </w:rPr>
          <w:t>Observation 3</w:t>
        </w:r>
        <w:r w:rsidR="00DE792D">
          <w:rPr>
            <w:rFonts w:asciiTheme="minorHAnsi" w:eastAsiaTheme="minorEastAsia" w:hAnsiTheme="minorHAnsi" w:cstheme="minorBidi"/>
            <w:b w:val="0"/>
            <w:sz w:val="22"/>
            <w:lang w:val="sv-SE" w:eastAsia="sv-SE"/>
          </w:rPr>
          <w:tab/>
        </w:r>
        <w:r w:rsidR="00DE792D" w:rsidRPr="00AD0A8D">
          <w:rPr>
            <w:rStyle w:val="Hyperlink"/>
            <w:lang w:val="en-US" w:eastAsia="en-US"/>
          </w:rPr>
          <w:t>For per-layer NNZCI approach, the RI and NNZCIs can be jointly or independently encoded</w:t>
        </w:r>
      </w:hyperlink>
    </w:p>
    <w:p w14:paraId="058FA44E" w14:textId="76D3FE66" w:rsidR="00DE792D" w:rsidRDefault="00B85FD6">
      <w:pPr>
        <w:pStyle w:val="TOC1"/>
        <w:rPr>
          <w:rFonts w:asciiTheme="minorHAnsi" w:eastAsiaTheme="minorEastAsia" w:hAnsiTheme="minorHAnsi" w:cstheme="minorBidi"/>
          <w:b w:val="0"/>
          <w:sz w:val="22"/>
          <w:lang w:val="sv-SE" w:eastAsia="sv-SE"/>
        </w:rPr>
      </w:pPr>
      <w:hyperlink w:anchor="_Toc4777954" w:history="1">
        <w:r w:rsidR="00DE792D" w:rsidRPr="00AD0A8D">
          <w:rPr>
            <w:rStyle w:val="Hyperlink"/>
          </w:rPr>
          <w:t>Observation 4</w:t>
        </w:r>
        <w:r w:rsidR="00DE792D">
          <w:rPr>
            <w:rFonts w:asciiTheme="minorHAnsi" w:eastAsiaTheme="minorEastAsia" w:hAnsiTheme="minorHAnsi" w:cstheme="minorBidi"/>
            <w:b w:val="0"/>
            <w:sz w:val="22"/>
            <w:lang w:val="sv-SE" w:eastAsia="sv-SE"/>
          </w:rPr>
          <w:tab/>
        </w:r>
        <w:r w:rsidR="00DE792D" w:rsidRPr="00AD0A8D">
          <w:rPr>
            <w:rStyle w:val="Hyperlink"/>
          </w:rPr>
          <w:t>Joint number of non-zero coefficient indication across layers can reduce overhead compared to layer-wise non-zero coefficient indication</w:t>
        </w:r>
      </w:hyperlink>
    </w:p>
    <w:p w14:paraId="729EE59A" w14:textId="7879454E" w:rsidR="00DE792D" w:rsidRDefault="00B85FD6">
      <w:pPr>
        <w:pStyle w:val="TOC1"/>
        <w:rPr>
          <w:rFonts w:asciiTheme="minorHAnsi" w:eastAsiaTheme="minorEastAsia" w:hAnsiTheme="minorHAnsi" w:cstheme="minorBidi"/>
          <w:b w:val="0"/>
          <w:sz w:val="22"/>
          <w:lang w:val="sv-SE" w:eastAsia="sv-SE"/>
        </w:rPr>
      </w:pPr>
      <w:hyperlink w:anchor="_Toc4777955" w:history="1">
        <w:r w:rsidR="00DE792D" w:rsidRPr="00AD0A8D">
          <w:rPr>
            <w:rStyle w:val="Hyperlink"/>
            <w:lang w:val="en-US"/>
          </w:rPr>
          <w:t>Observation 5</w:t>
        </w:r>
        <w:r w:rsidR="00DE792D">
          <w:rPr>
            <w:rFonts w:asciiTheme="minorHAnsi" w:eastAsiaTheme="minorEastAsia" w:hAnsiTheme="minorHAnsi" w:cstheme="minorBidi"/>
            <w:b w:val="0"/>
            <w:sz w:val="22"/>
            <w:lang w:val="sv-SE" w:eastAsia="sv-SE"/>
          </w:rPr>
          <w:tab/>
        </w:r>
        <w:r w:rsidR="00DE792D" w:rsidRPr="00AD0A8D">
          <w:rPr>
            <w:rStyle w:val="Hyperlink"/>
            <w:lang w:val="en-US"/>
          </w:rPr>
          <w:t>Oversampling the FD-basis cannot lead to better performance, and feeding back an oversampling index is therefore redundant</w:t>
        </w:r>
      </w:hyperlink>
    </w:p>
    <w:p w14:paraId="54DB37A9" w14:textId="3439E14C" w:rsidR="00DE792D" w:rsidRDefault="00B85FD6">
      <w:pPr>
        <w:pStyle w:val="TOC1"/>
        <w:rPr>
          <w:rFonts w:asciiTheme="minorHAnsi" w:eastAsiaTheme="minorEastAsia" w:hAnsiTheme="minorHAnsi" w:cstheme="minorBidi"/>
          <w:b w:val="0"/>
          <w:sz w:val="22"/>
          <w:lang w:val="sv-SE" w:eastAsia="sv-SE"/>
        </w:rPr>
      </w:pPr>
      <w:hyperlink w:anchor="_Toc4777956" w:history="1">
        <w:r w:rsidR="00DE792D" w:rsidRPr="00AD0A8D">
          <w:rPr>
            <w:rStyle w:val="Hyperlink"/>
            <w:lang w:val="en-US"/>
          </w:rPr>
          <w:t>Observation 6</w:t>
        </w:r>
        <w:r w:rsidR="00DE792D">
          <w:rPr>
            <w:rFonts w:asciiTheme="minorHAnsi" w:eastAsiaTheme="minorEastAsia" w:hAnsiTheme="minorHAnsi" w:cstheme="minorBidi"/>
            <w:b w:val="0"/>
            <w:sz w:val="22"/>
            <w:lang w:val="sv-SE" w:eastAsia="sv-SE"/>
          </w:rPr>
          <w:tab/>
        </w:r>
        <w:r w:rsidR="00DE792D" w:rsidRPr="00AD0A8D">
          <w:rPr>
            <w:rStyle w:val="Hyperlink"/>
            <w:lang w:val="en-US"/>
          </w:rPr>
          <w:t>The UE can apply arbitrary phase rotations on the columns of the beam-frequency matrix prior to FD-transformation in order to sparsify the coefficients in the transformed domain, including applying linear phase ramp corresponding to arbitrarily high oversampling. However, this phase rotation does not need to be reported.</w:t>
        </w:r>
      </w:hyperlink>
    </w:p>
    <w:p w14:paraId="78F32BD4" w14:textId="24DF9E1A" w:rsidR="00DE792D" w:rsidRDefault="00B85FD6">
      <w:pPr>
        <w:pStyle w:val="TOC1"/>
        <w:rPr>
          <w:rFonts w:asciiTheme="minorHAnsi" w:eastAsiaTheme="minorEastAsia" w:hAnsiTheme="minorHAnsi" w:cstheme="minorBidi"/>
          <w:b w:val="0"/>
          <w:sz w:val="22"/>
          <w:lang w:val="sv-SE" w:eastAsia="sv-SE"/>
        </w:rPr>
      </w:pPr>
      <w:hyperlink w:anchor="_Toc4777957" w:history="1">
        <w:r w:rsidR="00DE792D" w:rsidRPr="00AD0A8D">
          <w:rPr>
            <w:rStyle w:val="Hyperlink"/>
          </w:rPr>
          <w:t>Observation 7</w:t>
        </w:r>
        <w:r w:rsidR="00DE792D">
          <w:rPr>
            <w:rFonts w:asciiTheme="minorHAnsi" w:eastAsiaTheme="minorEastAsia" w:hAnsiTheme="minorHAnsi" w:cstheme="minorBidi"/>
            <w:b w:val="0"/>
            <w:sz w:val="22"/>
            <w:lang w:val="sv-SE" w:eastAsia="sv-SE"/>
          </w:rPr>
          <w:tab/>
        </w:r>
        <w:r w:rsidR="00DE792D" w:rsidRPr="00AD0A8D">
          <w:rPr>
            <w:rStyle w:val="Hyperlink"/>
          </w:rPr>
          <w:t xml:space="preserve">For 32Tx, performance of L=2 is not competitive, especially </w:t>
        </w:r>
        <m:oMath>
          <m:r>
            <m:rPr>
              <m:sty m:val="bi"/>
            </m:rPr>
            <w:rPr>
              <w:rStyle w:val="Hyperlink"/>
              <w:rFonts w:ascii="Cambria Math" w:hAnsi="Cambria Math"/>
            </w:rPr>
            <m:t>L,p=(2,12)</m:t>
          </m:r>
        </m:oMath>
        <w:r w:rsidR="00DE792D" w:rsidRPr="00AD0A8D">
          <w:rPr>
            <w:rStyle w:val="Hyperlink"/>
          </w:rPr>
          <w:t xml:space="preserve"> which has inferior performance to </w:t>
        </w:r>
        <m:oMath>
          <m:r>
            <m:rPr>
              <m:sty m:val="bi"/>
            </m:rPr>
            <w:rPr>
              <w:rStyle w:val="Hyperlink"/>
              <w:rFonts w:ascii="Cambria Math" w:hAnsi="Cambria Math"/>
            </w:rPr>
            <m:t>L,p=(4,14)</m:t>
          </m:r>
        </m:oMath>
        <w:r w:rsidR="00DE792D" w:rsidRPr="00AD0A8D">
          <w:rPr>
            <w:rStyle w:val="Hyperlink"/>
          </w:rPr>
          <w:t xml:space="preserve"> with similar overhead</w:t>
        </w:r>
      </w:hyperlink>
    </w:p>
    <w:p w14:paraId="23E55143" w14:textId="5692B7CA" w:rsidR="00DE792D" w:rsidRDefault="00B85FD6">
      <w:pPr>
        <w:pStyle w:val="TOC1"/>
        <w:rPr>
          <w:rFonts w:asciiTheme="minorHAnsi" w:eastAsiaTheme="minorEastAsia" w:hAnsiTheme="minorHAnsi" w:cstheme="minorBidi"/>
          <w:b w:val="0"/>
          <w:sz w:val="22"/>
          <w:lang w:val="sv-SE" w:eastAsia="sv-SE"/>
        </w:rPr>
      </w:pPr>
      <w:hyperlink w:anchor="_Toc4777958" w:history="1">
        <w:r w:rsidR="00DE792D" w:rsidRPr="00AD0A8D">
          <w:rPr>
            <w:rStyle w:val="Hyperlink"/>
          </w:rPr>
          <w:t>Observation 8</w:t>
        </w:r>
        <w:r w:rsidR="00DE792D">
          <w:rPr>
            <w:rFonts w:asciiTheme="minorHAnsi" w:eastAsiaTheme="minorEastAsia" w:hAnsiTheme="minorHAnsi" w:cstheme="minorBidi"/>
            <w:b w:val="0"/>
            <w:sz w:val="22"/>
            <w:lang w:val="sv-SE" w:eastAsia="sv-SE"/>
          </w:rPr>
          <w:tab/>
        </w:r>
        <w:r w:rsidR="00DE792D" w:rsidRPr="00AD0A8D">
          <w:rPr>
            <w:rStyle w:val="Hyperlink"/>
          </w:rPr>
          <w:t xml:space="preserve">For 32 Tx, generally </w:t>
        </w:r>
        <m:oMath>
          <m:r>
            <m:rPr>
              <m:sty m:val="bi"/>
            </m:rPr>
            <w:rPr>
              <w:rStyle w:val="Hyperlink"/>
              <w:rFonts w:ascii="Cambria Math" w:hAnsi="Cambria Math"/>
            </w:rPr>
            <m:t>β=34</m:t>
          </m:r>
        </m:oMath>
        <w:r w:rsidR="00DE792D" w:rsidRPr="00AD0A8D">
          <w:rPr>
            <w:rStyle w:val="Hyperlink"/>
          </w:rPr>
          <w:t xml:space="preserve"> results in quite limited performance gain compared to </w:t>
        </w:r>
        <m:oMath>
          <m:r>
            <m:rPr>
              <m:sty m:val="bi"/>
            </m:rPr>
            <w:rPr>
              <w:rStyle w:val="Hyperlink"/>
              <w:rFonts w:ascii="Cambria Math" w:hAnsi="Cambria Math"/>
            </w:rPr>
            <m:t>β=12</m:t>
          </m:r>
        </m:oMath>
        <w:r w:rsidR="00DE792D" w:rsidRPr="00AD0A8D">
          <w:rPr>
            <w:rStyle w:val="Hyperlink"/>
          </w:rPr>
          <w:t>, at the cost of quite a large overhead increase</w:t>
        </w:r>
      </w:hyperlink>
    </w:p>
    <w:p w14:paraId="2F6B4AE3" w14:textId="35E254A5" w:rsidR="00DE792D" w:rsidRDefault="00B85FD6">
      <w:pPr>
        <w:pStyle w:val="TOC1"/>
        <w:rPr>
          <w:rFonts w:asciiTheme="minorHAnsi" w:eastAsiaTheme="minorEastAsia" w:hAnsiTheme="minorHAnsi" w:cstheme="minorBidi"/>
          <w:b w:val="0"/>
          <w:sz w:val="22"/>
          <w:lang w:val="sv-SE" w:eastAsia="sv-SE"/>
        </w:rPr>
      </w:pPr>
      <w:hyperlink w:anchor="_Toc4777959" w:history="1">
        <w:r w:rsidR="00DE792D" w:rsidRPr="00AD0A8D">
          <w:rPr>
            <w:rStyle w:val="Hyperlink"/>
            <w:lang w:val="en-US"/>
          </w:rPr>
          <w:t>Observation 9</w:t>
        </w:r>
        <w:r w:rsidR="00DE792D">
          <w:rPr>
            <w:rFonts w:asciiTheme="minorHAnsi" w:eastAsiaTheme="minorEastAsia" w:hAnsiTheme="minorHAnsi" w:cstheme="minorBidi"/>
            <w:b w:val="0"/>
            <w:sz w:val="22"/>
            <w:lang w:val="sv-SE" w:eastAsia="sv-SE"/>
          </w:rPr>
          <w:tab/>
        </w:r>
        <w:r w:rsidR="00DE792D" w:rsidRPr="00AD0A8D">
          <w:rPr>
            <w:rStyle w:val="Hyperlink"/>
            <w:lang w:val="en-US"/>
          </w:rPr>
          <w:t>DFT padding results in around 2% loss compared to No DFT padding</w:t>
        </w:r>
      </w:hyperlink>
    </w:p>
    <w:p w14:paraId="4224AE3F" w14:textId="1C1F1F11" w:rsidR="00DE792D" w:rsidRDefault="00B85FD6">
      <w:pPr>
        <w:pStyle w:val="TOC1"/>
        <w:rPr>
          <w:rFonts w:asciiTheme="minorHAnsi" w:eastAsiaTheme="minorEastAsia" w:hAnsiTheme="minorHAnsi" w:cstheme="minorBidi"/>
          <w:b w:val="0"/>
          <w:sz w:val="22"/>
          <w:lang w:val="sv-SE" w:eastAsia="sv-SE"/>
        </w:rPr>
      </w:pPr>
      <w:hyperlink w:anchor="_Toc4777960" w:history="1">
        <w:r w:rsidR="00DE792D" w:rsidRPr="00AD0A8D">
          <w:rPr>
            <w:rStyle w:val="Hyperlink"/>
            <w:lang w:val="en-US"/>
          </w:rPr>
          <w:t>Observation 10</w:t>
        </w:r>
        <w:r w:rsidR="00DE792D">
          <w:rPr>
            <w:rFonts w:asciiTheme="minorHAnsi" w:eastAsiaTheme="minorEastAsia" w:hAnsiTheme="minorHAnsi" w:cstheme="minorBidi"/>
            <w:b w:val="0"/>
            <w:sz w:val="22"/>
            <w:lang w:val="sv-SE" w:eastAsia="sv-SE"/>
          </w:rPr>
          <w:tab/>
        </w:r>
        <w:r w:rsidR="00DE792D" w:rsidRPr="00AD0A8D">
          <w:rPr>
            <w:rStyle w:val="Hyperlink"/>
            <w:lang w:val="en-US"/>
          </w:rPr>
          <w:t>Segmentation approach has inferior performance/overhead tradeoff compared to approaches without segmentation</w:t>
        </w:r>
      </w:hyperlink>
    </w:p>
    <w:p w14:paraId="16FF25B4" w14:textId="5266A7F7" w:rsidR="00C25FB3" w:rsidRDefault="00C25FB3" w:rsidP="00C25FB3">
      <w:pPr>
        <w:rPr>
          <w:noProof/>
          <w:szCs w:val="22"/>
          <w:lang w:val="en-US"/>
        </w:rPr>
      </w:pPr>
      <w:r>
        <w:rPr>
          <w:noProof/>
          <w:szCs w:val="22"/>
          <w:highlight w:val="yellow"/>
          <w:lang w:val="en-US"/>
        </w:rPr>
        <w:fldChar w:fldCharType="end"/>
      </w:r>
    </w:p>
    <w:p w14:paraId="555636E4" w14:textId="58B448F4" w:rsidR="00C25FB3" w:rsidRDefault="00C25FB3" w:rsidP="00C25FB3">
      <w:r>
        <w:t>Based on these observations, we make the following proposals:</w:t>
      </w:r>
    </w:p>
    <w:bookmarkStart w:id="68" w:name="_Hlk533167434"/>
    <w:p w14:paraId="617E774F" w14:textId="19FAA169" w:rsidR="00DE792D" w:rsidRDefault="00C25FB3">
      <w:pPr>
        <w:pStyle w:val="TOC1"/>
        <w:rPr>
          <w:rFonts w:asciiTheme="minorHAnsi" w:eastAsiaTheme="minorEastAsia" w:hAnsiTheme="minorHAnsi" w:cstheme="minorBidi"/>
          <w:b w:val="0"/>
          <w:sz w:val="22"/>
          <w:lang w:val="sv-SE" w:eastAsia="sv-SE"/>
        </w:rPr>
      </w:pPr>
      <w:r>
        <w:lastRenderedPageBreak/>
        <w:fldChar w:fldCharType="begin"/>
      </w:r>
      <w:r>
        <w:rPr>
          <w:highlight w:val="yellow"/>
        </w:rPr>
        <w:instrText xml:space="preserve"> TOC \n \h \z \t "Proposal;1" </w:instrText>
      </w:r>
      <w:r>
        <w:fldChar w:fldCharType="separate"/>
      </w:r>
      <w:bookmarkEnd w:id="68"/>
      <w:r w:rsidR="00DE792D" w:rsidRPr="00E83BEF">
        <w:rPr>
          <w:rStyle w:val="Hyperlink"/>
        </w:rPr>
        <w:fldChar w:fldCharType="begin"/>
      </w:r>
      <w:r w:rsidR="00DE792D" w:rsidRPr="00E83BEF">
        <w:rPr>
          <w:rStyle w:val="Hyperlink"/>
        </w:rPr>
        <w:instrText xml:space="preserve"> </w:instrText>
      </w:r>
      <w:r w:rsidR="00DE792D">
        <w:instrText>HYPERLINK \l "_Toc4777961"</w:instrText>
      </w:r>
      <w:r w:rsidR="00DE792D" w:rsidRPr="00E83BEF">
        <w:rPr>
          <w:rStyle w:val="Hyperlink"/>
        </w:rPr>
        <w:instrText xml:space="preserve"> </w:instrText>
      </w:r>
      <w:r w:rsidR="00DE792D" w:rsidRPr="00E83BEF">
        <w:rPr>
          <w:rStyle w:val="Hyperlink"/>
        </w:rPr>
        <w:fldChar w:fldCharType="separate"/>
      </w:r>
      <w:r w:rsidR="00DE792D" w:rsidRPr="00E83BEF">
        <w:rPr>
          <w:rStyle w:val="Hyperlink"/>
        </w:rPr>
        <w:t>Proposal 1</w:t>
      </w:r>
      <w:r w:rsidR="00DE792D">
        <w:rPr>
          <w:rFonts w:asciiTheme="minorHAnsi" w:eastAsiaTheme="minorEastAsia" w:hAnsiTheme="minorHAnsi" w:cstheme="minorBidi"/>
          <w:b w:val="0"/>
          <w:sz w:val="22"/>
          <w:lang w:val="sv-SE" w:eastAsia="sv-SE"/>
        </w:rPr>
        <w:tab/>
      </w:r>
      <w:r w:rsidR="00DE792D" w:rsidRPr="00E83BEF">
        <w:rPr>
          <w:rStyle w:val="Hyperlink"/>
        </w:rPr>
        <w:t>For SD/FD basis parametrisation, consider Alt 3, RI-common for RI={3,4} and layer common, with M’=M/2 and L’=L</w:t>
      </w:r>
      <w:r w:rsidR="00DE792D" w:rsidRPr="00E83BEF">
        <w:rPr>
          <w:rStyle w:val="Hyperlink"/>
        </w:rPr>
        <w:fldChar w:fldCharType="end"/>
      </w:r>
    </w:p>
    <w:p w14:paraId="4BB3F3A1" w14:textId="3A1CC6FF" w:rsidR="00DE792D" w:rsidRDefault="00B85FD6">
      <w:pPr>
        <w:pStyle w:val="TOC1"/>
        <w:rPr>
          <w:rFonts w:asciiTheme="minorHAnsi" w:eastAsiaTheme="minorEastAsia" w:hAnsiTheme="minorHAnsi" w:cstheme="minorBidi"/>
          <w:b w:val="0"/>
          <w:sz w:val="22"/>
          <w:lang w:val="sv-SE" w:eastAsia="sv-SE"/>
        </w:rPr>
      </w:pPr>
      <w:hyperlink w:anchor="_Toc4777962" w:history="1">
        <w:r w:rsidR="00DE792D" w:rsidRPr="00E83BEF">
          <w:rPr>
            <w:rStyle w:val="Hyperlink"/>
          </w:rPr>
          <w:t>Proposal 2</w:t>
        </w:r>
        <w:r w:rsidR="00DE792D">
          <w:rPr>
            <w:rFonts w:asciiTheme="minorHAnsi" w:eastAsiaTheme="minorEastAsia" w:hAnsiTheme="minorHAnsi" w:cstheme="minorBidi"/>
            <w:b w:val="0"/>
            <w:sz w:val="22"/>
            <w:lang w:val="sv-SE" w:eastAsia="sv-SE"/>
          </w:rPr>
          <w:tab/>
        </w:r>
        <w:r w:rsidR="00DE792D" w:rsidRPr="00E83BEF">
          <w:rPr>
            <w:rStyle w:val="Hyperlink"/>
          </w:rPr>
          <w:t>As starting point for discussion, consider layer-independent FD-basis selection and layer-common SD-basis selection</w:t>
        </w:r>
      </w:hyperlink>
    </w:p>
    <w:p w14:paraId="519650D6" w14:textId="278F99FD" w:rsidR="00DE792D" w:rsidRDefault="00B85FD6">
      <w:pPr>
        <w:pStyle w:val="TOC1"/>
        <w:rPr>
          <w:rFonts w:asciiTheme="minorHAnsi" w:eastAsiaTheme="minorEastAsia" w:hAnsiTheme="minorHAnsi" w:cstheme="minorBidi"/>
          <w:b w:val="0"/>
          <w:sz w:val="22"/>
          <w:lang w:val="sv-SE" w:eastAsia="sv-SE"/>
        </w:rPr>
      </w:pPr>
      <w:hyperlink w:anchor="_Toc4777963" w:history="1">
        <w:r w:rsidR="00DE792D" w:rsidRPr="00E83BEF">
          <w:rPr>
            <w:rStyle w:val="Hyperlink"/>
          </w:rPr>
          <w:t>Proposal 3</w:t>
        </w:r>
        <w:r w:rsidR="00DE792D">
          <w:rPr>
            <w:rFonts w:asciiTheme="minorHAnsi" w:eastAsiaTheme="minorEastAsia" w:hAnsiTheme="minorHAnsi" w:cstheme="minorBidi"/>
            <w:b w:val="0"/>
            <w:sz w:val="22"/>
            <w:lang w:val="sv-SE" w:eastAsia="sv-SE"/>
          </w:rPr>
          <w:tab/>
        </w:r>
        <w:r w:rsidR="00DE792D" w:rsidRPr="00E83BEF">
          <w:rPr>
            <w:rStyle w:val="Hyperlink"/>
          </w:rPr>
          <w:t>For max # NZ coefficients, consider Alt1. Total max # NZ coefficients across all layers ≤ 2</w:t>
        </w:r>
        <w:r w:rsidR="00DE792D" w:rsidRPr="00E83BEF">
          <w:rPr>
            <w:rStyle w:val="Hyperlink"/>
            <w:i/>
            <w:iCs/>
          </w:rPr>
          <w:t>K</w:t>
        </w:r>
        <w:r w:rsidR="00DE792D" w:rsidRPr="00E83BEF">
          <w:rPr>
            <w:rStyle w:val="Hyperlink"/>
            <w:i/>
            <w:iCs/>
            <w:vertAlign w:val="subscript"/>
          </w:rPr>
          <w:t>0</w:t>
        </w:r>
        <w:r w:rsidR="00DE792D" w:rsidRPr="00E83BEF">
          <w:rPr>
            <w:rStyle w:val="Hyperlink"/>
            <w:lang w:val="en-US"/>
          </w:rPr>
          <w:t xml:space="preserve"> (the </w:t>
        </w:r>
        <w:r w:rsidR="00DE792D" w:rsidRPr="00E83BEF">
          <w:rPr>
            <w:rStyle w:val="Hyperlink"/>
            <w:i/>
            <w:iCs/>
          </w:rPr>
          <w:t>K</w:t>
        </w:r>
        <w:r w:rsidR="00DE792D" w:rsidRPr="00E83BEF">
          <w:rPr>
            <w:rStyle w:val="Hyperlink"/>
            <w:i/>
            <w:iCs/>
            <w:vertAlign w:val="subscript"/>
          </w:rPr>
          <w:t>0</w:t>
        </w:r>
        <w:r w:rsidR="00DE792D" w:rsidRPr="00E83BEF">
          <w:rPr>
            <w:rStyle w:val="Hyperlink"/>
            <w:lang w:val="en-US"/>
          </w:rPr>
          <w:t xml:space="preserve"> value set for </w:t>
        </w:r>
        <w:r w:rsidR="00DE792D" w:rsidRPr="00E83BEF">
          <w:rPr>
            <w:rStyle w:val="Hyperlink"/>
          </w:rPr>
          <w:t>RI</w:t>
        </w:r>
        <w:r w:rsidR="00DE792D" w:rsidRPr="00E83BEF">
          <w:rPr>
            <w:rStyle w:val="Hyperlink"/>
          </w:rPr>
          <w:sym w:font="Symbol" w:char="F0CE"/>
        </w:r>
        <w:r w:rsidR="00DE792D" w:rsidRPr="00E83BEF">
          <w:rPr>
            <w:rStyle w:val="Hyperlink"/>
          </w:rPr>
          <w:t>{1,2}</w:t>
        </w:r>
        <w:r w:rsidR="00DE792D" w:rsidRPr="00E83BEF">
          <w:rPr>
            <w:rStyle w:val="Hyperlink"/>
            <w:lang w:val="en-US"/>
          </w:rPr>
          <w:t>)</w:t>
        </w:r>
      </w:hyperlink>
    </w:p>
    <w:p w14:paraId="0EA80A6C" w14:textId="3DD96B19" w:rsidR="00DE792D" w:rsidRDefault="00B85FD6">
      <w:pPr>
        <w:pStyle w:val="TOC1"/>
        <w:rPr>
          <w:rFonts w:asciiTheme="minorHAnsi" w:eastAsiaTheme="minorEastAsia" w:hAnsiTheme="minorHAnsi" w:cstheme="minorBidi"/>
          <w:b w:val="0"/>
          <w:sz w:val="22"/>
          <w:lang w:val="sv-SE" w:eastAsia="sv-SE"/>
        </w:rPr>
      </w:pPr>
      <w:hyperlink w:anchor="_Toc4777964" w:history="1">
        <w:r w:rsidR="00DE792D" w:rsidRPr="00E83BEF">
          <w:rPr>
            <w:rStyle w:val="Hyperlink"/>
          </w:rPr>
          <w:t>Proposal 1</w:t>
        </w:r>
        <w:r w:rsidR="00DE792D">
          <w:rPr>
            <w:rFonts w:asciiTheme="minorHAnsi" w:eastAsiaTheme="minorEastAsia" w:hAnsiTheme="minorHAnsi" w:cstheme="minorBidi"/>
            <w:b w:val="0"/>
            <w:sz w:val="22"/>
            <w:lang w:val="sv-SE" w:eastAsia="sv-SE"/>
          </w:rPr>
          <w:tab/>
        </w:r>
        <w:r w:rsidR="00DE792D" w:rsidRPr="00E83BEF">
          <w:rPr>
            <w:rStyle w:val="Hyperlink"/>
          </w:rPr>
          <w:t>Do not support introducing L=6 spatial beams</w:t>
        </w:r>
      </w:hyperlink>
    </w:p>
    <w:p w14:paraId="5FA47B31" w14:textId="4F58EBF5" w:rsidR="00DE792D" w:rsidRDefault="00B85FD6">
      <w:pPr>
        <w:pStyle w:val="TOC1"/>
        <w:rPr>
          <w:rFonts w:asciiTheme="minorHAnsi" w:eastAsiaTheme="minorEastAsia" w:hAnsiTheme="minorHAnsi" w:cstheme="minorBidi"/>
          <w:b w:val="0"/>
          <w:sz w:val="22"/>
          <w:lang w:val="sv-SE" w:eastAsia="sv-SE"/>
        </w:rPr>
      </w:pPr>
      <w:hyperlink w:anchor="_Toc4777965" w:history="1">
        <w:r w:rsidR="00DE792D" w:rsidRPr="00E83BEF">
          <w:rPr>
            <w:rStyle w:val="Hyperlink"/>
          </w:rPr>
          <w:t>Proposal 2</w:t>
        </w:r>
        <w:r w:rsidR="00DE792D">
          <w:rPr>
            <w:rFonts w:asciiTheme="minorHAnsi" w:eastAsiaTheme="minorEastAsia" w:hAnsiTheme="minorHAnsi" w:cstheme="minorBidi"/>
            <w:b w:val="0"/>
            <w:sz w:val="22"/>
            <w:lang w:val="sv-SE" w:eastAsia="sv-SE"/>
          </w:rPr>
          <w:tab/>
        </w:r>
        <w:r w:rsidR="00DE792D" w:rsidRPr="00E83BEF">
          <w:rPr>
            <w:rStyle w:val="Hyperlink"/>
          </w:rPr>
          <w:t>Support joint number of non-zero coefficient indication across layers and separate RI encoding in UCI Part 1</w:t>
        </w:r>
      </w:hyperlink>
    </w:p>
    <w:p w14:paraId="4416FC37" w14:textId="207630C7" w:rsidR="00DE792D" w:rsidRDefault="00B85FD6">
      <w:pPr>
        <w:pStyle w:val="TOC1"/>
        <w:rPr>
          <w:rFonts w:asciiTheme="minorHAnsi" w:eastAsiaTheme="minorEastAsia" w:hAnsiTheme="minorHAnsi" w:cstheme="minorBidi"/>
          <w:b w:val="0"/>
          <w:sz w:val="22"/>
          <w:lang w:val="sv-SE" w:eastAsia="sv-SE"/>
        </w:rPr>
      </w:pPr>
      <w:hyperlink w:anchor="_Toc4777966" w:history="1">
        <w:r w:rsidR="00DE792D" w:rsidRPr="00E83BEF">
          <w:rPr>
            <w:rStyle w:val="Hyperlink"/>
            <w:lang w:val="en-US"/>
          </w:rPr>
          <w:t>Proposal 3</w:t>
        </w:r>
        <w:r w:rsidR="00DE792D">
          <w:rPr>
            <w:rFonts w:asciiTheme="minorHAnsi" w:eastAsiaTheme="minorEastAsia" w:hAnsiTheme="minorHAnsi" w:cstheme="minorBidi"/>
            <w:b w:val="0"/>
            <w:sz w:val="22"/>
            <w:lang w:val="sv-SE" w:eastAsia="sv-SE"/>
          </w:rPr>
          <w:tab/>
        </w:r>
        <w:r w:rsidR="00DE792D" w:rsidRPr="00E83BEF">
          <w:rPr>
            <w:rStyle w:val="Hyperlink"/>
            <w:lang w:val="en-US"/>
          </w:rPr>
          <w:t xml:space="preserve">Reject the working assumption on oversampling of the FD-basis and support critically sampled FD-basis with </w:t>
        </w:r>
        <m:oMath>
          <m:r>
            <m:rPr>
              <m:sty m:val="bi"/>
            </m:rPr>
            <w:rPr>
              <w:rStyle w:val="Hyperlink"/>
              <w:rFonts w:ascii="Cambria Math" w:hAnsi="Cambria Math"/>
              <w:lang w:val="en-US"/>
            </w:rPr>
            <m:t>O</m:t>
          </m:r>
          <m:r>
            <m:rPr>
              <m:sty m:val="bi"/>
            </m:rPr>
            <w:rPr>
              <w:rStyle w:val="Hyperlink"/>
              <w:rFonts w:ascii="Cambria Math" w:hAnsi="Cambria Math"/>
              <w:lang w:val="en-US"/>
            </w:rPr>
            <m:t>3=1</m:t>
          </m:r>
        </m:oMath>
      </w:hyperlink>
    </w:p>
    <w:p w14:paraId="40D695A9" w14:textId="5BCF279C" w:rsidR="00DE792D" w:rsidRDefault="00B85FD6">
      <w:pPr>
        <w:pStyle w:val="TOC1"/>
        <w:rPr>
          <w:rFonts w:asciiTheme="minorHAnsi" w:eastAsiaTheme="minorEastAsia" w:hAnsiTheme="minorHAnsi" w:cstheme="minorBidi"/>
          <w:b w:val="0"/>
          <w:sz w:val="22"/>
          <w:lang w:val="sv-SE" w:eastAsia="sv-SE"/>
        </w:rPr>
      </w:pPr>
      <w:hyperlink w:anchor="_Toc4777967" w:history="1">
        <w:r w:rsidR="00DE792D" w:rsidRPr="00E83BEF">
          <w:rPr>
            <w:rStyle w:val="Hyperlink"/>
          </w:rPr>
          <w:t>Proposal 4</w:t>
        </w:r>
        <w:r w:rsidR="00DE792D">
          <w:rPr>
            <w:rFonts w:asciiTheme="minorHAnsi" w:eastAsiaTheme="minorEastAsia" w:hAnsiTheme="minorHAnsi" w:cstheme="minorBidi"/>
            <w:b w:val="0"/>
            <w:sz w:val="22"/>
            <w:lang w:val="sv-SE" w:eastAsia="sv-SE"/>
          </w:rPr>
          <w:tab/>
        </w:r>
        <w:r w:rsidR="00DE792D" w:rsidRPr="00E83BEF">
          <w:rPr>
            <w:rStyle w:val="Hyperlink"/>
          </w:rPr>
          <w:t xml:space="preserve">Consider not supporting L=2, at least </w:t>
        </w:r>
        <m:oMath>
          <m:r>
            <m:rPr>
              <m:sty m:val="bi"/>
            </m:rPr>
            <w:rPr>
              <w:rStyle w:val="Hyperlink"/>
              <w:rFonts w:ascii="Cambria Math" w:hAnsi="Cambria Math"/>
            </w:rPr>
            <m:t>L,p=(2,12)</m:t>
          </m:r>
        </m:oMath>
        <w:r w:rsidR="00DE792D" w:rsidRPr="00E83BEF">
          <w:rPr>
            <w:rStyle w:val="Hyperlink"/>
          </w:rPr>
          <w:t xml:space="preserve"> can be removed</w:t>
        </w:r>
      </w:hyperlink>
    </w:p>
    <w:p w14:paraId="03383968" w14:textId="79CB7C6D" w:rsidR="00DE792D" w:rsidRDefault="00B85FD6">
      <w:pPr>
        <w:pStyle w:val="TOC1"/>
        <w:rPr>
          <w:rFonts w:asciiTheme="minorHAnsi" w:eastAsiaTheme="minorEastAsia" w:hAnsiTheme="minorHAnsi" w:cstheme="minorBidi"/>
          <w:b w:val="0"/>
          <w:sz w:val="22"/>
          <w:lang w:val="sv-SE" w:eastAsia="sv-SE"/>
        </w:rPr>
      </w:pPr>
      <w:hyperlink w:anchor="_Toc4777968" w:history="1">
        <w:r w:rsidR="00DE792D" w:rsidRPr="00E83BEF">
          <w:rPr>
            <w:rStyle w:val="Hyperlink"/>
          </w:rPr>
          <w:t>Proposal 5</w:t>
        </w:r>
        <w:r w:rsidR="00DE792D">
          <w:rPr>
            <w:rFonts w:asciiTheme="minorHAnsi" w:eastAsiaTheme="minorEastAsia" w:hAnsiTheme="minorHAnsi" w:cstheme="minorBidi"/>
            <w:b w:val="0"/>
            <w:sz w:val="22"/>
            <w:lang w:val="sv-SE" w:eastAsia="sv-SE"/>
          </w:rPr>
          <w:tab/>
        </w:r>
        <w:r w:rsidR="00DE792D" w:rsidRPr="00E83BEF">
          <w:rPr>
            <w:rStyle w:val="Hyperlink"/>
          </w:rPr>
          <w:t xml:space="preserve">Consider not supporting </w:t>
        </w:r>
        <m:oMath>
          <m:r>
            <m:rPr>
              <m:sty m:val="bi"/>
            </m:rPr>
            <w:rPr>
              <w:rStyle w:val="Hyperlink"/>
              <w:rFonts w:ascii="Cambria Math" w:hAnsi="Cambria Math"/>
            </w:rPr>
            <m:t>β=34</m:t>
          </m:r>
        </m:oMath>
        <w:r w:rsidR="00DE792D" w:rsidRPr="00E83BEF">
          <w:rPr>
            <w:rStyle w:val="Hyperlink"/>
          </w:rPr>
          <w:t>, since it has limited performance gain</w:t>
        </w:r>
      </w:hyperlink>
    </w:p>
    <w:p w14:paraId="1EFF096C" w14:textId="2E320DB0" w:rsidR="00DE792D" w:rsidRDefault="00B85FD6">
      <w:pPr>
        <w:pStyle w:val="TOC1"/>
        <w:rPr>
          <w:rFonts w:asciiTheme="minorHAnsi" w:eastAsiaTheme="minorEastAsia" w:hAnsiTheme="minorHAnsi" w:cstheme="minorBidi"/>
          <w:b w:val="0"/>
          <w:sz w:val="22"/>
          <w:lang w:val="sv-SE" w:eastAsia="sv-SE"/>
        </w:rPr>
      </w:pPr>
      <w:hyperlink w:anchor="_Toc4777969" w:history="1">
        <w:r w:rsidR="00DE792D" w:rsidRPr="00E83BEF">
          <w:rPr>
            <w:rStyle w:val="Hyperlink"/>
          </w:rPr>
          <w:t>Proposal 6</w:t>
        </w:r>
        <w:r w:rsidR="00DE792D">
          <w:rPr>
            <w:rFonts w:asciiTheme="minorHAnsi" w:eastAsiaTheme="minorEastAsia" w:hAnsiTheme="minorHAnsi" w:cstheme="minorBidi"/>
            <w:b w:val="0"/>
            <w:sz w:val="22"/>
            <w:lang w:val="sv-SE" w:eastAsia="sv-SE"/>
          </w:rPr>
          <w:tab/>
        </w:r>
        <w:r w:rsidR="00DE792D" w:rsidRPr="00E83BEF">
          <w:rPr>
            <w:rStyle w:val="Hyperlink"/>
            <w:rFonts w:eastAsia="Malgun Gothic"/>
          </w:rPr>
          <w:t xml:space="preserve">When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R&gt;19</m:t>
          </m:r>
        </m:oMath>
        <w:r w:rsidR="00DE792D" w:rsidRPr="00E83BEF">
          <w:rPr>
            <w:rStyle w:val="Hyperlink"/>
            <w:rFonts w:eastAsia="Malgun Gothic"/>
            <w:lang w:val="en-US" w:eastAsia="ko-KR"/>
          </w:rPr>
          <w:t xml:space="preserve">,support free selection of </w:t>
        </w:r>
        <w:r w:rsidR="00DE792D" w:rsidRPr="00E83BEF">
          <w:rPr>
            <w:rStyle w:val="Hyperlink"/>
            <w:rFonts w:eastAsia="Malgun Gothic"/>
          </w:rPr>
          <w:t>N</w:t>
        </w:r>
        <w:r w:rsidR="00DE792D" w:rsidRPr="00E83BEF">
          <w:rPr>
            <w:rStyle w:val="Hyperlink"/>
            <w:rFonts w:eastAsia="Malgun Gothic"/>
            <w:vertAlign w:val="subscript"/>
          </w:rPr>
          <w:t>3</w:t>
        </w:r>
        <w:r w:rsidR="00DE792D" w:rsidRPr="00E83BEF">
          <w:rPr>
            <w:rStyle w:val="Hyperlink"/>
            <w:rFonts w:eastAsia="Malgun Gothic"/>
            <w:lang w:val="en-US" w:eastAsia="ko-KR"/>
          </w:rPr>
          <w:t xml:space="preserve">. For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r>
            <m:rPr>
              <m:sty m:val="bi"/>
            </m:rPr>
            <w:rPr>
              <w:rStyle w:val="Hyperlink"/>
              <w:rFonts w:ascii="Cambria Math" w:eastAsia="Malgun Gothic" w:hAnsi="Cambria Math" w:cs="Batang"/>
            </w:rPr>
            <m:t>&gt;19</m:t>
          </m:r>
        </m:oMath>
        <w:r w:rsidR="00DE792D" w:rsidRPr="00E83BEF">
          <w:rPr>
            <w:rStyle w:val="Hyperlink"/>
            <w:rFonts w:eastAsia="Malgun Gothic"/>
            <w:lang w:val="en-US" w:eastAsia="ko-KR"/>
          </w:rPr>
          <w:t xml:space="preserve"> </w:t>
        </w:r>
        <m:oMath>
          <m:r>
            <m:rPr>
              <m:sty m:val="b"/>
            </m:rPr>
            <w:rPr>
              <w:rStyle w:val="Hyperlink"/>
              <w:rFonts w:ascii="Cambria Math" w:eastAsia="Malgun Gothic" w:hAnsi="Cambria Math" w:cs="Batang"/>
            </w:rPr>
            <m:t>N</m:t>
          </m:r>
          <m:r>
            <m:rPr>
              <m:sty m:val="b"/>
            </m:rPr>
            <w:rPr>
              <w:rStyle w:val="Hyperlink"/>
              <w:rFonts w:ascii="Cambria Math" w:eastAsia="Malgun Gothic" w:hAnsi="Cambria Math" w:cs="Batang"/>
              <w:lang w:val="de-DE"/>
            </w:rPr>
            <m:t>3</m:t>
          </m:r>
        </m:oMath>
        <w:r w:rsidR="00DE792D" w:rsidRPr="00E83BEF">
          <w:rPr>
            <w:rStyle w:val="Hyperlink"/>
            <w:rFonts w:eastAsia="Malgun Gothic"/>
          </w:rPr>
          <w:t xml:space="preserve"> is selected as the smallest multiple of 2, 3, or 5 which is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oMath>
      </w:hyperlink>
    </w:p>
    <w:p w14:paraId="4F34FAFD" w14:textId="1CB1866B" w:rsidR="005704AC" w:rsidRPr="002D7B37" w:rsidRDefault="00C25FB3" w:rsidP="00C25FB3">
      <w:pPr>
        <w:rPr>
          <w:lang w:val="en-US"/>
        </w:rPr>
      </w:pPr>
      <w:r>
        <w:rPr>
          <w:highlight w:val="yellow"/>
        </w:rPr>
        <w:fldChar w:fldCharType="end"/>
      </w:r>
    </w:p>
    <w:p w14:paraId="0DEF49B4" w14:textId="7F840ECB" w:rsidR="0045141A" w:rsidRPr="00BF4F4A" w:rsidRDefault="0026523C" w:rsidP="0026523C">
      <w:pPr>
        <w:pStyle w:val="Heading1"/>
      </w:pPr>
      <w:r w:rsidRPr="00BF4F4A">
        <w:t>References</w:t>
      </w:r>
    </w:p>
    <w:p w14:paraId="7645F0CA" w14:textId="79D6E18A" w:rsidR="00275261" w:rsidRDefault="00275261" w:rsidP="00275261">
      <w:pPr>
        <w:pStyle w:val="Reference"/>
      </w:pPr>
      <w:bookmarkStart w:id="69" w:name="_Ref4744745"/>
      <w:bookmarkStart w:id="70" w:name="_Ref971642"/>
      <w:r>
        <w:t xml:space="preserve">R1-1905111 “On CBSR for Type II CSI enhancements”, Ericsson, </w:t>
      </w:r>
      <w:r w:rsidRPr="00275261">
        <w:t>3GPP TSG RAN WG1 Meeting RAN1#96-bis, Xi’an, China, April 8th – 12th, 2019</w:t>
      </w:r>
      <w:bookmarkEnd w:id="69"/>
    </w:p>
    <w:p w14:paraId="743370C9" w14:textId="635E360E" w:rsidR="00275261" w:rsidRDefault="00275261" w:rsidP="00275261">
      <w:pPr>
        <w:pStyle w:val="Reference"/>
      </w:pPr>
      <w:bookmarkStart w:id="71" w:name="_Ref4744746"/>
      <w:r>
        <w:t xml:space="preserve">R1-1905112, “On UCI design for Type II CSI enhancements”, Ericsson, </w:t>
      </w:r>
      <w:r w:rsidRPr="00275261">
        <w:t>3GPP TSG RAN WG1 Meeting RAN1#96-bis, Xi’an, China, April 8th – 12th, 2019</w:t>
      </w:r>
      <w:bookmarkEnd w:id="71"/>
    </w:p>
    <w:p w14:paraId="747AD583" w14:textId="4B68872D" w:rsidR="00275261" w:rsidRDefault="00275261" w:rsidP="00275261">
      <w:pPr>
        <w:pStyle w:val="Reference"/>
      </w:pPr>
      <w:bookmarkStart w:id="72" w:name="_Ref4744748"/>
      <w:r>
        <w:t>R1-1905113, “Evaluation results on the value of N3 for Type II CSI enhancements”,</w:t>
      </w:r>
      <w:r>
        <w:tab/>
        <w:t xml:space="preserve"> Ericsson, </w:t>
      </w:r>
      <w:r w:rsidRPr="00275261">
        <w:t>3GPP TSG RAN WG1 Meeting RAN1#96-bis, Xi’an, China, April 8th – 12th, 2019</w:t>
      </w:r>
      <w:bookmarkEnd w:id="72"/>
    </w:p>
    <w:p w14:paraId="37862E2C" w14:textId="3F3EA2BF" w:rsidR="00275261" w:rsidRDefault="00275261" w:rsidP="001A009C">
      <w:pPr>
        <w:pStyle w:val="Reference"/>
      </w:pPr>
      <w:bookmarkStart w:id="73" w:name="_Ref4744749"/>
      <w:r>
        <w:t xml:space="preserve">R1-1905114, “Evaluation results for different parameter settings for Type II CSI enhancements”, Ericsson, </w:t>
      </w:r>
      <w:r w:rsidRPr="00275261">
        <w:t>3GPP TSG RAN WG1 Meeting RAN1#96-bis, Xi’an, China, April 8th – 12th, 2019</w:t>
      </w:r>
      <w:bookmarkEnd w:id="73"/>
    </w:p>
    <w:p w14:paraId="275E0498" w14:textId="22201ADE" w:rsidR="00275261" w:rsidRDefault="00275261" w:rsidP="00495D2F">
      <w:pPr>
        <w:pStyle w:val="Reference"/>
      </w:pPr>
      <w:bookmarkStart w:id="74" w:name="_Ref4744750"/>
      <w:r>
        <w:t xml:space="preserve">R1-1905115, “On the necessity of feeding back oversampling index for Type II CSI enhancements”, Ericsson, </w:t>
      </w:r>
      <w:r w:rsidRPr="00275261">
        <w:t>3GPP TSG RAN WG1 Meeting RAN1#96-bis, Xi’an, China, April 8th – 12th, 2019</w:t>
      </w:r>
      <w:bookmarkEnd w:id="74"/>
    </w:p>
    <w:p w14:paraId="7290321B" w14:textId="2B8D00D7" w:rsidR="00275261" w:rsidRDefault="00275261" w:rsidP="00275261">
      <w:pPr>
        <w:pStyle w:val="Reference"/>
        <w:numPr>
          <w:ilvl w:val="0"/>
          <w:numId w:val="0"/>
        </w:numPr>
        <w:ind w:left="567" w:hanging="567"/>
      </w:pPr>
    </w:p>
    <w:p w14:paraId="7D97FD09" w14:textId="77777777" w:rsidR="00275261" w:rsidRPr="00EF0BD3" w:rsidRDefault="00275261" w:rsidP="00275261">
      <w:pPr>
        <w:pStyle w:val="Reference"/>
        <w:numPr>
          <w:ilvl w:val="0"/>
          <w:numId w:val="0"/>
        </w:numPr>
        <w:ind w:left="567" w:hanging="567"/>
      </w:pPr>
    </w:p>
    <w:bookmarkEnd w:id="70"/>
    <w:p w14:paraId="53F5097C" w14:textId="0C491141" w:rsidR="002919CD" w:rsidRDefault="00D66E8D" w:rsidP="00D66E8D">
      <w:pPr>
        <w:pStyle w:val="Heading1"/>
      </w:pPr>
      <w:r w:rsidRPr="00BF4F4A">
        <w:t>Appendix</w:t>
      </w:r>
      <w:r>
        <w:t>: Simulation assumption</w:t>
      </w:r>
      <w:r w:rsidR="00ED1EAA">
        <w:t>s</w:t>
      </w:r>
    </w:p>
    <w:p w14:paraId="15836C27" w14:textId="67B452F8" w:rsidR="00D66E8D" w:rsidRDefault="00D66E8D" w:rsidP="00705CCB">
      <w:r>
        <w:t>For system level evaluations, the agreed assumptions from RAN1#94bis are used.  The remaining evaluation assumptions are given in the table below.</w:t>
      </w:r>
      <w:r w:rsidR="00705CCB" w:rsidRPr="00D66E8D">
        <w:t xml:space="preserve"> </w:t>
      </w:r>
    </w:p>
    <w:p w14:paraId="756A4C89" w14:textId="77777777" w:rsidR="00C2794A" w:rsidRDefault="00C2794A" w:rsidP="00C2794A">
      <w:pPr>
        <w:jc w:val="center"/>
        <w:rPr>
          <w:b/>
          <w:sz w:val="22"/>
        </w:rPr>
      </w:pPr>
      <w:r>
        <w:rPr>
          <w:b/>
        </w:rPr>
        <w:t>Table 1:</w:t>
      </w:r>
      <w: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C2794A" w14:paraId="77F03432" w14:textId="77777777" w:rsidTr="00C2794A">
        <w:tc>
          <w:tcPr>
            <w:tcW w:w="3121"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A0717C3" w14:textId="77777777" w:rsidR="00C2794A" w:rsidRDefault="00C2794A">
            <w:pPr>
              <w:spacing w:line="240" w:lineRule="atLeast"/>
            </w:pPr>
            <w:r>
              <w:rPr>
                <w:b/>
                <w:bCs/>
              </w:rPr>
              <w:t>Parameter</w:t>
            </w:r>
          </w:p>
        </w:tc>
        <w:tc>
          <w:tcPr>
            <w:tcW w:w="615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D274E35" w14:textId="77777777" w:rsidR="00C2794A" w:rsidRDefault="00C2794A">
            <w:pPr>
              <w:spacing w:line="240" w:lineRule="atLeast"/>
            </w:pPr>
            <w:r>
              <w:rPr>
                <w:b/>
                <w:bCs/>
              </w:rPr>
              <w:t>Value</w:t>
            </w:r>
          </w:p>
        </w:tc>
      </w:tr>
      <w:tr w:rsidR="00C2794A" w14:paraId="778764A4"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0F6669" w14:textId="77777777" w:rsidR="00C2794A" w:rsidRDefault="00C2794A">
            <w:pPr>
              <w:spacing w:line="240" w:lineRule="atLeast"/>
            </w:pPr>
            <w:r>
              <w:t xml:space="preserve">Duplex, Waveform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D8BAE9" w14:textId="77777777" w:rsidR="00C2794A" w:rsidRDefault="00C2794A">
            <w:pPr>
              <w:spacing w:line="240" w:lineRule="atLeast"/>
            </w:pPr>
            <w:r>
              <w:t xml:space="preserve">FDD, OFDM </w:t>
            </w:r>
          </w:p>
        </w:tc>
      </w:tr>
      <w:tr w:rsidR="00C2794A" w14:paraId="6EF0E237"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2CEC47" w14:textId="77777777" w:rsidR="00C2794A" w:rsidRDefault="00C2794A">
            <w:pPr>
              <w:spacing w:line="240" w:lineRule="atLeast"/>
            </w:pPr>
            <w:r>
              <w:t>Scenario</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712DA4" w14:textId="77777777" w:rsidR="00C2794A" w:rsidRDefault="00C2794A">
            <w:pPr>
              <w:spacing w:line="240" w:lineRule="atLeast"/>
              <w:rPr>
                <w:snapToGrid w:val="0"/>
              </w:rPr>
            </w:pPr>
            <w:r>
              <w:rPr>
                <w:snapToGrid w:val="0"/>
              </w:rPr>
              <w:t xml:space="preserve">Dense Urban (Macro only) </w:t>
            </w:r>
          </w:p>
        </w:tc>
      </w:tr>
      <w:tr w:rsidR="00C2794A" w14:paraId="4E3DA291"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2338B7" w14:textId="77777777" w:rsidR="00C2794A" w:rsidRDefault="00C2794A">
            <w:pPr>
              <w:spacing w:line="240" w:lineRule="atLeast"/>
            </w:pPr>
            <w:r>
              <w:t>Carrier frequency</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438B24" w14:textId="77777777" w:rsidR="00C2794A" w:rsidRDefault="00C2794A">
            <w:pPr>
              <w:spacing w:line="240" w:lineRule="atLeast"/>
              <w:rPr>
                <w:snapToGrid w:val="0"/>
              </w:rPr>
            </w:pPr>
            <w:r>
              <w:rPr>
                <w:snapToGrid w:val="0"/>
              </w:rPr>
              <w:t>4GHz</w:t>
            </w:r>
          </w:p>
        </w:tc>
      </w:tr>
      <w:tr w:rsidR="00C2794A" w14:paraId="72A42F2D"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928140" w14:textId="77777777" w:rsidR="00C2794A" w:rsidRDefault="00C2794A">
            <w:pPr>
              <w:spacing w:line="240" w:lineRule="atLeast"/>
            </w:pPr>
            <w:r>
              <w:lastRenderedPageBreak/>
              <w:t>Inter-site distance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752F4B" w14:textId="77777777" w:rsidR="00C2794A" w:rsidRDefault="00C2794A">
            <w:pPr>
              <w:spacing w:line="240" w:lineRule="atLeast"/>
              <w:rPr>
                <w:b/>
                <w:snapToGrid w:val="0"/>
                <w:color w:val="0000FF"/>
              </w:rPr>
            </w:pPr>
            <w:r>
              <w:rPr>
                <w:snapToGrid w:val="0"/>
              </w:rPr>
              <w:t>200m</w:t>
            </w:r>
            <w:r>
              <w:rPr>
                <w:snapToGrid w:val="0"/>
                <w:color w:val="FF0000"/>
              </w:rPr>
              <w:t xml:space="preserve"> </w:t>
            </w:r>
          </w:p>
        </w:tc>
      </w:tr>
      <w:tr w:rsidR="00C2794A" w14:paraId="6CB04B8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B2D6DF" w14:textId="77777777" w:rsidR="00C2794A" w:rsidRDefault="00C2794A">
            <w:pPr>
              <w:spacing w:line="240" w:lineRule="atLeast"/>
            </w:pPr>
            <w:r>
              <w:t>Channel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E9F6DD" w14:textId="77777777" w:rsidR="00C2794A" w:rsidRDefault="00C2794A">
            <w:pPr>
              <w:spacing w:line="240" w:lineRule="atLeast"/>
              <w:rPr>
                <w:snapToGrid w:val="0"/>
              </w:rPr>
            </w:pPr>
            <w:r>
              <w:rPr>
                <w:snapToGrid w:val="0"/>
              </w:rPr>
              <w:t xml:space="preserve">According to the TR 38.901 </w:t>
            </w:r>
          </w:p>
        </w:tc>
      </w:tr>
      <w:tr w:rsidR="00C2794A" w14:paraId="0B903F2E"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4F8D88" w14:textId="77777777" w:rsidR="00C2794A" w:rsidRDefault="00C2794A">
            <w:pPr>
              <w:spacing w:line="240" w:lineRule="atLeast"/>
            </w:pPr>
            <w:r>
              <w:t>Antenna setup and port layouts at gNB</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0F5797F" w14:textId="77777777" w:rsidR="00C2794A" w:rsidRDefault="00C2794A">
            <w:pPr>
              <w:overflowPunct/>
              <w:snapToGrid w:val="0"/>
              <w:spacing w:line="240" w:lineRule="atLeast"/>
              <w:rPr>
                <w:snapToGrid w:val="0"/>
                <w:lang w:val="sv-SE"/>
              </w:rPr>
            </w:pPr>
            <w:r>
              <w:rPr>
                <w:snapToGrid w:val="0"/>
                <w:lang w:val="sv-SE"/>
              </w:rPr>
              <w:t>32 ports: (8,4,2,1,1,4,4), (dH,dV) = (0.5, 0.8)</w:t>
            </w:r>
            <w:r>
              <w:rPr>
                <w:snapToGrid w:val="0"/>
              </w:rPr>
              <w:t>λ</w:t>
            </w:r>
            <w:r>
              <w:rPr>
                <w:snapToGrid w:val="0"/>
                <w:lang w:val="sv-SE"/>
              </w:rPr>
              <w:t xml:space="preserve"> </w:t>
            </w:r>
          </w:p>
          <w:p w14:paraId="64429D81" w14:textId="77777777" w:rsidR="00C2794A" w:rsidRDefault="00C2794A">
            <w:pPr>
              <w:overflowPunct/>
              <w:snapToGrid w:val="0"/>
              <w:spacing w:line="240" w:lineRule="atLeast"/>
              <w:rPr>
                <w:snapToGrid w:val="0"/>
                <w:lang w:val="sv-SE"/>
              </w:rPr>
            </w:pPr>
            <w:r>
              <w:rPr>
                <w:snapToGrid w:val="0"/>
                <w:lang w:val="sv-SE"/>
              </w:rPr>
              <w:t>16 ports: (8,4,2,1,1,2,4), (dH,dV) = (0.5, 0.8)</w:t>
            </w:r>
            <w:r>
              <w:rPr>
                <w:snapToGrid w:val="0"/>
              </w:rPr>
              <w:t>λ</w:t>
            </w:r>
            <w:r>
              <w:rPr>
                <w:snapToGrid w:val="0"/>
                <w:lang w:val="sv-SE"/>
              </w:rPr>
              <w:t xml:space="preserve"> </w:t>
            </w:r>
          </w:p>
          <w:p w14:paraId="6AA149AF" w14:textId="77777777" w:rsidR="00C2794A" w:rsidRDefault="00C2794A">
            <w:pPr>
              <w:overflowPunct/>
              <w:snapToGrid w:val="0"/>
              <w:spacing w:line="240" w:lineRule="atLeast"/>
              <w:rPr>
                <w:snapToGrid w:val="0"/>
                <w:lang w:val="sv-SE"/>
              </w:rPr>
            </w:pPr>
            <w:r>
              <w:rPr>
                <w:snapToGrid w:val="0"/>
                <w:lang w:val="sv-SE"/>
              </w:rPr>
              <w:t>100 deg tilt</w:t>
            </w:r>
          </w:p>
          <w:p w14:paraId="4894B27D" w14:textId="77777777" w:rsidR="00C2794A" w:rsidRDefault="00C2794A">
            <w:pPr>
              <w:overflowPunct/>
              <w:snapToGrid w:val="0"/>
              <w:spacing w:line="240" w:lineRule="atLeast"/>
              <w:rPr>
                <w:lang w:val="sv-SE"/>
              </w:rPr>
            </w:pPr>
          </w:p>
        </w:tc>
      </w:tr>
      <w:tr w:rsidR="00C2794A" w:rsidRPr="00C2794A" w14:paraId="5FDC27A5"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D46C0D" w14:textId="77777777" w:rsidR="00C2794A" w:rsidRDefault="00C2794A">
            <w:pPr>
              <w:spacing w:line="240" w:lineRule="atLeast"/>
            </w:pPr>
            <w:r>
              <w:t>Antenna setup and port layouts at UE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909564" w14:textId="77777777" w:rsidR="00C2794A" w:rsidRDefault="00C2794A">
            <w:pPr>
              <w:spacing w:line="240" w:lineRule="atLeast"/>
              <w:rPr>
                <w:snapToGrid w:val="0"/>
              </w:rPr>
            </w:pPr>
            <w:r>
              <w:rPr>
                <w:snapToGrid w:val="0"/>
              </w:rPr>
              <w:t>2RX: (1,1,2,1,1,1,1), (</w:t>
            </w:r>
            <w:proofErr w:type="spellStart"/>
            <w:proofErr w:type="gramStart"/>
            <w:r>
              <w:rPr>
                <w:snapToGrid w:val="0"/>
              </w:rPr>
              <w:t>dH,dV</w:t>
            </w:r>
            <w:proofErr w:type="spellEnd"/>
            <w:proofErr w:type="gramEnd"/>
            <w:r>
              <w:rPr>
                <w:snapToGrid w:val="0"/>
              </w:rPr>
              <w:t xml:space="preserve">) = (0.5, 0.5)λ for (rank 1,2) </w:t>
            </w:r>
          </w:p>
          <w:p w14:paraId="6B420C3B" w14:textId="5D9F542E" w:rsidR="00C2794A" w:rsidRDefault="00C2794A">
            <w:pPr>
              <w:spacing w:line="240" w:lineRule="atLeast"/>
              <w:rPr>
                <w:snapToGrid w:val="0"/>
              </w:rPr>
            </w:pPr>
            <w:r>
              <w:rPr>
                <w:snapToGrid w:val="0"/>
              </w:rPr>
              <w:t>4RX: (1,2,2,1,1,1,1), (</w:t>
            </w:r>
            <w:proofErr w:type="spellStart"/>
            <w:proofErr w:type="gramStart"/>
            <w:r>
              <w:rPr>
                <w:snapToGrid w:val="0"/>
              </w:rPr>
              <w:t>dH,dV</w:t>
            </w:r>
            <w:proofErr w:type="spellEnd"/>
            <w:proofErr w:type="gramEnd"/>
            <w:r>
              <w:rPr>
                <w:snapToGrid w:val="0"/>
              </w:rPr>
              <w:t>) = (0.5, 0.5)λ for (rank 1,2,3,4)</w:t>
            </w:r>
          </w:p>
        </w:tc>
      </w:tr>
      <w:tr w:rsidR="00C2794A" w14:paraId="4FBEDF3B"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E9DAA8" w14:textId="77777777" w:rsidR="00C2794A" w:rsidRDefault="00C2794A">
            <w:pPr>
              <w:spacing w:line="240" w:lineRule="atLeast"/>
            </w:pPr>
            <w:r>
              <w:t xml:space="preserve">BS Tx power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762037" w14:textId="77777777" w:rsidR="00C2794A" w:rsidRDefault="00C2794A">
            <w:pPr>
              <w:spacing w:line="240" w:lineRule="atLeast"/>
              <w:rPr>
                <w:snapToGrid w:val="0"/>
              </w:rPr>
            </w:pPr>
            <w:r>
              <w:rPr>
                <w:snapToGrid w:val="0"/>
              </w:rPr>
              <w:t>41 dBm</w:t>
            </w:r>
          </w:p>
        </w:tc>
      </w:tr>
      <w:tr w:rsidR="00C2794A" w14:paraId="73AC173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86C102" w14:textId="77777777" w:rsidR="00C2794A" w:rsidRDefault="00C2794A">
            <w:pPr>
              <w:spacing w:line="240" w:lineRule="atLeast"/>
            </w:pPr>
            <w:r>
              <w:t xml:space="preserve">BS antenna height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A75D1E" w14:textId="77777777" w:rsidR="00C2794A" w:rsidRDefault="00C2794A">
            <w:pPr>
              <w:spacing w:line="240" w:lineRule="atLeast"/>
              <w:rPr>
                <w:snapToGrid w:val="0"/>
              </w:rPr>
            </w:pPr>
            <w:r>
              <w:rPr>
                <w:snapToGrid w:val="0"/>
              </w:rPr>
              <w:t xml:space="preserve">25m </w:t>
            </w:r>
          </w:p>
        </w:tc>
      </w:tr>
      <w:tr w:rsidR="00C2794A" w14:paraId="6FF66FA5"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04B370" w14:textId="77777777" w:rsidR="00C2794A" w:rsidRDefault="00C2794A">
            <w:pPr>
              <w:spacing w:line="240" w:lineRule="atLeast"/>
            </w:pPr>
            <w:r>
              <w:t>UE antenna height &amp; gain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64AABA" w14:textId="77777777" w:rsidR="00C2794A" w:rsidRDefault="00C2794A">
            <w:pPr>
              <w:spacing w:line="240" w:lineRule="atLeast"/>
              <w:rPr>
                <w:snapToGrid w:val="0"/>
              </w:rPr>
            </w:pPr>
            <w:r>
              <w:rPr>
                <w:snapToGrid w:val="0"/>
              </w:rPr>
              <w:t xml:space="preserve">Follow TR36.873 </w:t>
            </w:r>
          </w:p>
        </w:tc>
      </w:tr>
      <w:tr w:rsidR="00C2794A" w14:paraId="34285CB0"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25F11F" w14:textId="77777777" w:rsidR="00C2794A" w:rsidRDefault="00C2794A">
            <w:pPr>
              <w:spacing w:line="240" w:lineRule="atLeast"/>
            </w:pPr>
            <w:r>
              <w:t>UE receiver noise figure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A0068F" w14:textId="77777777" w:rsidR="00C2794A" w:rsidRDefault="00C2794A">
            <w:pPr>
              <w:spacing w:line="240" w:lineRule="atLeast"/>
              <w:rPr>
                <w:snapToGrid w:val="0"/>
              </w:rPr>
            </w:pPr>
            <w:r>
              <w:rPr>
                <w:snapToGrid w:val="0"/>
              </w:rPr>
              <w:t>9dB</w:t>
            </w:r>
          </w:p>
        </w:tc>
      </w:tr>
      <w:tr w:rsidR="00C2794A" w14:paraId="339E649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78A362" w14:textId="77777777" w:rsidR="00C2794A" w:rsidRDefault="00C2794A">
            <w:pPr>
              <w:spacing w:line="240" w:lineRule="atLeast"/>
            </w:pPr>
            <w:r>
              <w:t xml:space="preserve">Modulation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20991B" w14:textId="77777777" w:rsidR="00C2794A" w:rsidRDefault="00C2794A">
            <w:pPr>
              <w:spacing w:line="240" w:lineRule="atLeast"/>
            </w:pPr>
            <w:r>
              <w:t xml:space="preserve">Up to 256QAM </w:t>
            </w:r>
          </w:p>
        </w:tc>
      </w:tr>
      <w:tr w:rsidR="00C2794A" w:rsidRPr="00C2794A" w14:paraId="2317E3E3"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86E9FF" w14:textId="77777777" w:rsidR="00C2794A" w:rsidRDefault="00C2794A">
            <w:pPr>
              <w:spacing w:line="240" w:lineRule="atLeast"/>
            </w:pPr>
            <w:r>
              <w:t xml:space="preserve">Coding on PDSCH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CBCB5A" w14:textId="77777777" w:rsidR="00C2794A" w:rsidRDefault="00C2794A">
            <w:pPr>
              <w:spacing w:line="240" w:lineRule="atLeast"/>
            </w:pPr>
            <w:r>
              <w:t>LDPC</w:t>
            </w:r>
          </w:p>
          <w:p w14:paraId="3D45353B" w14:textId="77777777" w:rsidR="00C2794A" w:rsidRDefault="00C2794A">
            <w:pPr>
              <w:spacing w:line="240" w:lineRule="atLeast"/>
            </w:pPr>
            <w:r>
              <w:t xml:space="preserve">Max code-block size=8448bit </w:t>
            </w:r>
          </w:p>
        </w:tc>
      </w:tr>
      <w:tr w:rsidR="00C2794A" w:rsidRPr="00C2794A" w14:paraId="6C79BCFF" w14:textId="77777777" w:rsidTr="00C2794A">
        <w:trPr>
          <w:trHeight w:val="211"/>
        </w:trPr>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8E51EE" w14:textId="77777777" w:rsidR="00C2794A" w:rsidRDefault="00C2794A">
            <w:pPr>
              <w:spacing w:line="240" w:lineRule="atLeast"/>
            </w:pPr>
            <w:r>
              <w:t xml:space="preserve">Simulation bandwidth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618009" w14:textId="1DE6E43E" w:rsidR="00C2794A" w:rsidRDefault="00C2794A">
            <w:pPr>
              <w:spacing w:line="240" w:lineRule="atLeast"/>
              <w:rPr>
                <w:snapToGrid w:val="0"/>
              </w:rPr>
            </w:pPr>
            <w:r>
              <w:rPr>
                <w:snapToGrid w:val="0"/>
              </w:rPr>
              <w:t>10 MHz with 15kHz SCS</w:t>
            </w:r>
          </w:p>
        </w:tc>
      </w:tr>
      <w:tr w:rsidR="00C2794A" w:rsidRPr="00C2794A" w14:paraId="2BEEB5A8"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5479C7" w14:textId="77777777" w:rsidR="00C2794A" w:rsidRDefault="00C2794A">
            <w:pPr>
              <w:spacing w:line="240" w:lineRule="atLeast"/>
            </w:pPr>
            <w:r>
              <w:t xml:space="preserve">Frame structure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D07393" w14:textId="77777777" w:rsidR="00C2794A" w:rsidRDefault="00C2794A">
            <w:pPr>
              <w:spacing w:line="240" w:lineRule="atLeast"/>
            </w:pPr>
            <w:r>
              <w:t>Slot Format 0 (all downlink) for all slots</w:t>
            </w:r>
          </w:p>
        </w:tc>
      </w:tr>
      <w:tr w:rsidR="00C2794A" w:rsidRPr="00C2794A" w14:paraId="06BD091C"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BBAD0B" w14:textId="77777777" w:rsidR="00C2794A" w:rsidRDefault="00C2794A">
            <w:pPr>
              <w:spacing w:line="240" w:lineRule="atLeast"/>
            </w:pPr>
            <w:r>
              <w:rPr>
                <w:rFonts w:eastAsia="STXihei"/>
                <w:bCs/>
                <w:kern w:val="24"/>
              </w:rPr>
              <w:t>MIMO scheme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EA75FB" w14:textId="77777777" w:rsidR="00C2794A" w:rsidRDefault="00C2794A">
            <w:pPr>
              <w:spacing w:line="240" w:lineRule="atLeast"/>
            </w:pPr>
            <w:r>
              <w:rPr>
                <w:snapToGrid w:val="0"/>
              </w:rPr>
              <w:t>SU/MU-MIMO with rank adaptation</w:t>
            </w:r>
          </w:p>
        </w:tc>
      </w:tr>
      <w:tr w:rsidR="00C2794A" w14:paraId="3E8C31F3" w14:textId="77777777" w:rsidTr="00C2794A">
        <w:tc>
          <w:tcPr>
            <w:tcW w:w="3121" w:type="dxa"/>
            <w:tcBorders>
              <w:top w:val="single" w:sz="4" w:space="0" w:color="auto"/>
              <w:left w:val="single" w:sz="4" w:space="0" w:color="auto"/>
              <w:bottom w:val="single" w:sz="4" w:space="0" w:color="auto"/>
              <w:right w:val="single" w:sz="4" w:space="0" w:color="auto"/>
            </w:tcBorders>
            <w:vAlign w:val="center"/>
            <w:hideMark/>
          </w:tcPr>
          <w:p w14:paraId="1D13325E" w14:textId="77777777" w:rsidR="00C2794A" w:rsidRDefault="00C2794A">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MIMO layers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8006A9" w14:textId="77777777" w:rsidR="00C2794A" w:rsidRDefault="00C2794A">
            <w:pPr>
              <w:spacing w:line="240" w:lineRule="atLeast"/>
              <w:rPr>
                <w:snapToGrid w:val="0"/>
              </w:rPr>
            </w:pPr>
            <w:r>
              <w:rPr>
                <w:snapToGrid w:val="0"/>
              </w:rPr>
              <w:t>Maximum 8 layers</w:t>
            </w:r>
          </w:p>
        </w:tc>
      </w:tr>
      <w:tr w:rsidR="00C2794A" w:rsidRPr="00C2794A" w14:paraId="0AF06272" w14:textId="77777777" w:rsidTr="00C2794A">
        <w:trPr>
          <w:trHeight w:val="908"/>
        </w:trPr>
        <w:tc>
          <w:tcPr>
            <w:tcW w:w="3121" w:type="dxa"/>
            <w:tcBorders>
              <w:top w:val="single" w:sz="4" w:space="0" w:color="auto"/>
              <w:left w:val="single" w:sz="4" w:space="0" w:color="auto"/>
              <w:bottom w:val="single" w:sz="4" w:space="0" w:color="auto"/>
              <w:right w:val="single" w:sz="4" w:space="0" w:color="auto"/>
            </w:tcBorders>
            <w:vAlign w:val="center"/>
            <w:hideMark/>
          </w:tcPr>
          <w:p w14:paraId="236505BB" w14:textId="77777777" w:rsidR="00C2794A" w:rsidRDefault="00C2794A">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 xml:space="preserve">CSI feedback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99913A" w14:textId="77777777" w:rsidR="00C2794A" w:rsidRDefault="00C2794A" w:rsidP="00C2794A">
            <w:pPr>
              <w:pStyle w:val="ListParagraph"/>
              <w:numPr>
                <w:ilvl w:val="0"/>
                <w:numId w:val="46"/>
              </w:numPr>
              <w:autoSpaceDE w:val="0"/>
              <w:autoSpaceDN w:val="0"/>
              <w:adjustRightInd w:val="0"/>
              <w:snapToGrid w:val="0"/>
              <w:spacing w:after="0"/>
              <w:jc w:val="both"/>
              <w:textAlignment w:val="baseline"/>
              <w:rPr>
                <w:rFonts w:eastAsia="Malgun Gothic"/>
                <w:kern w:val="2"/>
                <w:lang w:eastAsia="ko-KR"/>
              </w:rPr>
            </w:pPr>
            <w:r>
              <w:rPr>
                <w:rFonts w:eastAsia="Malgun Gothic"/>
              </w:rPr>
              <w:t>CSI feedback periodicity (full CSI feedback</w:t>
            </w:r>
            <w:proofErr w:type="gramStart"/>
            <w:r>
              <w:rPr>
                <w:rFonts w:eastAsia="Malgun Gothic"/>
              </w:rPr>
              <w:t>) :</w:t>
            </w:r>
            <w:proofErr w:type="gramEnd"/>
            <w:r>
              <w:rPr>
                <w:rFonts w:eastAsia="Malgun Gothic"/>
              </w:rPr>
              <w:t xml:space="preserve">  5 </w:t>
            </w:r>
            <w:proofErr w:type="spellStart"/>
            <w:r>
              <w:rPr>
                <w:rFonts w:eastAsia="Malgun Gothic"/>
              </w:rPr>
              <w:t>ms</w:t>
            </w:r>
            <w:proofErr w:type="spellEnd"/>
            <w:r>
              <w:rPr>
                <w:rFonts w:eastAsia="Malgun Gothic"/>
              </w:rPr>
              <w:t xml:space="preserve">, </w:t>
            </w:r>
          </w:p>
          <w:p w14:paraId="1F65440D" w14:textId="77777777" w:rsidR="00C2794A" w:rsidRDefault="00C2794A" w:rsidP="00C2794A">
            <w:pPr>
              <w:pStyle w:val="ListParagraph"/>
              <w:numPr>
                <w:ilvl w:val="0"/>
                <w:numId w:val="46"/>
              </w:numPr>
              <w:autoSpaceDE w:val="0"/>
              <w:autoSpaceDN w:val="0"/>
              <w:adjustRightInd w:val="0"/>
              <w:snapToGrid w:val="0"/>
              <w:spacing w:after="0"/>
              <w:jc w:val="both"/>
              <w:textAlignment w:val="baseline"/>
              <w:rPr>
                <w:rFonts w:ascii="Times New Roman" w:hAnsi="Times New Roman"/>
                <w:szCs w:val="20"/>
              </w:rPr>
            </w:pPr>
            <w:r>
              <w:rPr>
                <w:rFonts w:ascii="Times New Roman" w:eastAsia="Malgun Gothic" w:hAnsi="Times New Roman"/>
              </w:rPr>
              <w:t>Scheduling delay (from CSI feedback to time to apply in scheduling</w:t>
            </w:r>
            <w:proofErr w:type="gramStart"/>
            <w:r>
              <w:rPr>
                <w:rFonts w:ascii="Times New Roman" w:eastAsia="Malgun Gothic" w:hAnsi="Times New Roman"/>
              </w:rPr>
              <w:t>) :</w:t>
            </w:r>
            <w:proofErr w:type="gramEnd"/>
            <w:r>
              <w:rPr>
                <w:rFonts w:ascii="Times New Roman" w:eastAsia="Malgun Gothic" w:hAnsi="Times New Roman"/>
              </w:rPr>
              <w:t xml:space="preserve">  4 </w:t>
            </w:r>
            <w:proofErr w:type="spellStart"/>
            <w:r>
              <w:rPr>
                <w:rFonts w:ascii="Times New Roman" w:eastAsia="Malgun Gothic" w:hAnsi="Times New Roman"/>
              </w:rPr>
              <w:t>ms</w:t>
            </w:r>
            <w:proofErr w:type="spellEnd"/>
          </w:p>
        </w:tc>
      </w:tr>
      <w:tr w:rsidR="00C2794A" w:rsidRPr="00C2794A" w14:paraId="5DB7AA00"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42FD59F9" w14:textId="77777777" w:rsidR="00C2794A" w:rsidRDefault="00C2794A">
            <w:pPr>
              <w:pStyle w:val="NormalWeb"/>
              <w:spacing w:before="0" w:beforeAutospacing="0" w:after="0" w:afterAutospacing="0" w:line="240" w:lineRule="atLeast"/>
              <w:ind w:leftChars="68" w:left="856"/>
              <w:contextualSpacing/>
              <w:rPr>
                <w:rFonts w:ascii="Times New Roman" w:hAnsi="Times New Roman" w:cs="Times New Roman"/>
                <w:sz w:val="20"/>
                <w:szCs w:val="20"/>
              </w:rPr>
            </w:pPr>
            <w:r>
              <w:rPr>
                <w:rFonts w:ascii="Times New Roman" w:eastAsia="STXihei" w:hAnsi="Times New Roman" w:cs="Times New Roman"/>
                <w:kern w:val="24"/>
                <w:sz w:val="20"/>
                <w:szCs w:val="20"/>
              </w:rPr>
              <w:t xml:space="preserve">Overhead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7185E5" w14:textId="7CEAE7DC" w:rsidR="00C2794A" w:rsidRDefault="00B85FD6">
            <w:pPr>
              <w:spacing w:line="240" w:lineRule="atLeast"/>
              <w:rPr>
                <w:rFonts w:eastAsia="Malgun Gothic" w:hAnsi="Calibri"/>
                <w:snapToGrid w:val="0"/>
                <w:lang w:eastAsia="ko-KR"/>
              </w:rPr>
            </w:pPr>
            <w:r>
              <w:rPr>
                <w:rFonts w:eastAsia="Malgun Gothic" w:hAnsi="Calibri"/>
                <w:snapToGrid w:val="0"/>
                <w:lang w:eastAsia="ko-KR"/>
              </w:rPr>
              <w:t>DMRS overhead included</w:t>
            </w:r>
            <w:bookmarkStart w:id="75" w:name="_GoBack"/>
            <w:bookmarkEnd w:id="75"/>
          </w:p>
          <w:p w14:paraId="7A2A4CE6" w14:textId="77777777" w:rsidR="00C2794A" w:rsidRDefault="00C2794A">
            <w:pPr>
              <w:spacing w:line="240" w:lineRule="atLeast"/>
              <w:rPr>
                <w:rFonts w:eastAsia="Malgun Gothic" w:hAnsi="Calibri"/>
                <w:snapToGrid w:val="0"/>
                <w:lang w:eastAsia="ko-KR"/>
              </w:rPr>
            </w:pPr>
            <w:r>
              <w:rPr>
                <w:rFonts w:eastAsia="Malgun Gothic" w:hAnsi="Calibri"/>
                <w:snapToGrid w:val="0"/>
                <w:lang w:eastAsia="ko-KR"/>
              </w:rPr>
              <w:t>CSI-RS overhead included</w:t>
            </w:r>
          </w:p>
          <w:p w14:paraId="43D501ED" w14:textId="77777777" w:rsidR="00C2794A" w:rsidRDefault="00C2794A">
            <w:pPr>
              <w:spacing w:line="240" w:lineRule="atLeast"/>
              <w:rPr>
                <w:rFonts w:eastAsia="Malgun Gothic"/>
                <w:kern w:val="24"/>
              </w:rPr>
            </w:pPr>
            <w:r>
              <w:rPr>
                <w:rFonts w:eastAsia="Malgun Gothic"/>
                <w:kern w:val="24"/>
              </w:rPr>
              <w:t xml:space="preserve">TRS overhead included </w:t>
            </w:r>
          </w:p>
        </w:tc>
      </w:tr>
      <w:tr w:rsidR="00C2794A" w:rsidRPr="00C2794A" w14:paraId="0B8C5B3F"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A01B816"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F000805" w14:textId="77777777" w:rsidR="00C2794A" w:rsidRDefault="00C2794A">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 with packet size 0.5 Mbytes</w:t>
            </w:r>
          </w:p>
          <w:p w14:paraId="1F409477" w14:textId="77777777" w:rsidR="00C2794A" w:rsidRDefault="00C2794A">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p>
        </w:tc>
      </w:tr>
      <w:tr w:rsidR="00C2794A" w14:paraId="60DBEA78"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22953457"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load (Resource utilization)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05A6C6" w14:textId="77777777" w:rsidR="00C2794A" w:rsidRDefault="00C2794A" w:rsidP="00C2794A">
            <w:pPr>
              <w:pStyle w:val="NormalWeb"/>
              <w:numPr>
                <w:ilvl w:val="0"/>
                <w:numId w:val="47"/>
              </w:numPr>
              <w:spacing w:before="0" w:beforeAutospacing="0" w:after="0" w:afterAutospacing="0" w:line="240" w:lineRule="atLeast"/>
              <w:ind w:left="360"/>
              <w:contextualSpacing/>
              <w:rPr>
                <w:rFonts w:ascii="Times New Roman" w:hAnsi="Times New Roman"/>
                <w:kern w:val="24"/>
                <w:szCs w:val="20"/>
              </w:rPr>
            </w:pPr>
            <w:r>
              <w:rPr>
                <w:rFonts w:ascii="Times New Roman" w:eastAsia="Malgun Gothic" w:hAnsi="Times New Roman" w:cs="Times New Roman"/>
                <w:color w:val="auto"/>
                <w:kern w:val="24"/>
                <w:sz w:val="20"/>
                <w:szCs w:val="20"/>
                <w:u w:val="single"/>
                <w:lang w:eastAsia="ko-KR"/>
              </w:rPr>
              <w:t>70 % for CSI overhead reduction</w:t>
            </w:r>
          </w:p>
        </w:tc>
      </w:tr>
      <w:tr w:rsidR="00C2794A" w:rsidRPr="00C2794A" w14:paraId="269C33E3"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FBEF70D"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distribution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18986D"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- 80% indoor (3km/h), 20% outdoor (30km/h) </w:t>
            </w:r>
          </w:p>
        </w:tc>
      </w:tr>
      <w:tr w:rsidR="00C2794A" w:rsidRPr="00C2794A" w14:paraId="6C433548"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517F5E56"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lastRenderedPageBreak/>
              <w:t>UE receiver</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52DF0A"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MMSE-IRC as the baseline receiver</w:t>
            </w:r>
          </w:p>
        </w:tc>
      </w:tr>
      <w:tr w:rsidR="00C2794A" w14:paraId="3A9297CA"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9600344"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Feedback assumption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6A2823"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C2794A" w14:paraId="03A2A6A7"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24D5E864"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Channel estimation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410D29"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bl>
    <w:p w14:paraId="11E01675" w14:textId="77777777" w:rsidR="00C2794A" w:rsidRDefault="00C2794A" w:rsidP="00C2794A"/>
    <w:p w14:paraId="5CCA4C69" w14:textId="77777777" w:rsidR="00C2794A" w:rsidRDefault="00C2794A" w:rsidP="00C2794A">
      <w:pPr>
        <w:rPr>
          <w:lang w:val="en-US"/>
        </w:rPr>
      </w:pPr>
    </w:p>
    <w:p w14:paraId="57E2440A" w14:textId="77777777" w:rsidR="00C2794A" w:rsidRDefault="00C2794A" w:rsidP="00C2794A">
      <w:pPr>
        <w:rPr>
          <w:lang w:val="en-US"/>
        </w:rPr>
      </w:pPr>
    </w:p>
    <w:p w14:paraId="0BDFF367" w14:textId="77777777" w:rsidR="00C2794A" w:rsidRDefault="00C2794A" w:rsidP="00705CCB"/>
    <w:p w14:paraId="395BC3ED" w14:textId="77777777" w:rsidR="00705CCB" w:rsidRPr="00D66E8D" w:rsidRDefault="00705CCB" w:rsidP="00705CCB"/>
    <w:sectPr w:rsidR="00705CCB" w:rsidRPr="00D66E8D" w:rsidSect="00C02A4C">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1CB2E" w14:textId="77777777" w:rsidR="003513F0" w:rsidRDefault="003513F0">
      <w:r>
        <w:separator/>
      </w:r>
    </w:p>
  </w:endnote>
  <w:endnote w:type="continuationSeparator" w:id="0">
    <w:p w14:paraId="4C402F59" w14:textId="77777777" w:rsidR="003513F0" w:rsidRDefault="003513F0">
      <w:r>
        <w:continuationSeparator/>
      </w:r>
    </w:p>
  </w:endnote>
  <w:endnote w:type="continuationNotice" w:id="1">
    <w:p w14:paraId="2C133B06" w14:textId="77777777" w:rsidR="003513F0" w:rsidRDefault="00351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6BFC4" w14:textId="77777777" w:rsidR="003513F0" w:rsidRDefault="003513F0">
      <w:r>
        <w:separator/>
      </w:r>
    </w:p>
  </w:footnote>
  <w:footnote w:type="continuationSeparator" w:id="0">
    <w:p w14:paraId="2E097161" w14:textId="77777777" w:rsidR="003513F0" w:rsidRDefault="003513F0">
      <w:r>
        <w:continuationSeparator/>
      </w:r>
    </w:p>
  </w:footnote>
  <w:footnote w:type="continuationNotice" w:id="1">
    <w:p w14:paraId="6DF3AA52" w14:textId="77777777" w:rsidR="003513F0" w:rsidRDefault="00351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start w:val="1"/>
      <w:numFmt w:val="bullet"/>
      <w:lvlText w:val=""/>
      <w:lvlJc w:val="left"/>
      <w:pPr>
        <w:ind w:left="2977" w:hanging="360"/>
      </w:pPr>
      <w:rPr>
        <w:rFonts w:ascii="Symbol" w:hAnsi="Symbol" w:hint="default"/>
      </w:rPr>
    </w:lvl>
    <w:lvl w:ilvl="4" w:tplc="04090003">
      <w:start w:val="1"/>
      <w:numFmt w:val="bullet"/>
      <w:lvlText w:val="o"/>
      <w:lvlJc w:val="left"/>
      <w:pPr>
        <w:ind w:left="3697" w:hanging="360"/>
      </w:pPr>
      <w:rPr>
        <w:rFonts w:ascii="Courier New" w:hAnsi="Courier New" w:cs="Courier New" w:hint="default"/>
      </w:rPr>
    </w:lvl>
    <w:lvl w:ilvl="5" w:tplc="04090005">
      <w:start w:val="1"/>
      <w:numFmt w:val="bullet"/>
      <w:lvlText w:val=""/>
      <w:lvlJc w:val="left"/>
      <w:pPr>
        <w:ind w:left="4417" w:hanging="360"/>
      </w:pPr>
      <w:rPr>
        <w:rFonts w:ascii="Wingdings" w:hAnsi="Wingdings" w:hint="default"/>
      </w:rPr>
    </w:lvl>
    <w:lvl w:ilvl="6" w:tplc="04090001">
      <w:start w:val="1"/>
      <w:numFmt w:val="bullet"/>
      <w:lvlText w:val=""/>
      <w:lvlJc w:val="left"/>
      <w:pPr>
        <w:ind w:left="5137" w:hanging="360"/>
      </w:pPr>
      <w:rPr>
        <w:rFonts w:ascii="Symbol" w:hAnsi="Symbol" w:hint="default"/>
      </w:rPr>
    </w:lvl>
    <w:lvl w:ilvl="7" w:tplc="04090003">
      <w:start w:val="1"/>
      <w:numFmt w:val="bullet"/>
      <w:lvlText w:val="o"/>
      <w:lvlJc w:val="left"/>
      <w:pPr>
        <w:ind w:left="5857" w:hanging="360"/>
      </w:pPr>
      <w:rPr>
        <w:rFonts w:ascii="Courier New" w:hAnsi="Courier New" w:cs="Courier New" w:hint="default"/>
      </w:rPr>
    </w:lvl>
    <w:lvl w:ilvl="8" w:tplc="04090005">
      <w:start w:val="1"/>
      <w:numFmt w:val="bullet"/>
      <w:lvlText w:val=""/>
      <w:lvlJc w:val="left"/>
      <w:pPr>
        <w:ind w:left="6577" w:hanging="360"/>
      </w:pPr>
      <w:rPr>
        <w:rFonts w:ascii="Wingdings" w:hAnsi="Wingdings" w:hint="default"/>
      </w:rPr>
    </w:lvl>
  </w:abstractNum>
  <w:abstractNum w:abstractNumId="3" w15:restartNumberingAfterBreak="0">
    <w:nsid w:val="0C9B459C"/>
    <w:multiLevelType w:val="hybridMultilevel"/>
    <w:tmpl w:val="09BCDE80"/>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FF3E56"/>
    <w:multiLevelType w:val="hybridMultilevel"/>
    <w:tmpl w:val="71BA7C06"/>
    <w:lvl w:ilvl="0" w:tplc="48CE779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7D385F"/>
    <w:multiLevelType w:val="hybridMultilevel"/>
    <w:tmpl w:val="BAD4CE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AB1A05"/>
    <w:multiLevelType w:val="hybridMultilevel"/>
    <w:tmpl w:val="70E6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0B1359"/>
    <w:multiLevelType w:val="multilevel"/>
    <w:tmpl w:val="320B1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A73F03"/>
    <w:multiLevelType w:val="hybridMultilevel"/>
    <w:tmpl w:val="18F2755C"/>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F6DE3358">
      <w:numFmt w:val="bullet"/>
      <w:lvlText w:val="-"/>
      <w:lvlJc w:val="left"/>
      <w:pPr>
        <w:ind w:left="3600" w:hanging="360"/>
      </w:pPr>
      <w:rPr>
        <w:rFonts w:ascii="Times New Roman" w:eastAsia="MS Mincho" w:hAnsi="Times New Roman" w:cs="Times New Roman"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FA0BA7"/>
    <w:multiLevelType w:val="hybridMultilevel"/>
    <w:tmpl w:val="6CB6DDC4"/>
    <w:lvl w:ilvl="0" w:tplc="331621CE">
      <w:start w:val="1"/>
      <w:numFmt w:val="bullet"/>
      <w:lvlText w:val="—"/>
      <w:lvlJc w:val="left"/>
      <w:pPr>
        <w:tabs>
          <w:tab w:val="num" w:pos="1069"/>
        </w:tabs>
        <w:ind w:left="1069" w:hanging="360"/>
      </w:pPr>
      <w:rPr>
        <w:rFonts w:ascii="Ericsson Hilda Light" w:hAnsi="Ericsson Hilda Light" w:hint="default"/>
      </w:rPr>
    </w:lvl>
    <w:lvl w:ilvl="1" w:tplc="5956C922">
      <w:start w:val="174"/>
      <w:numFmt w:val="bullet"/>
      <w:lvlText w:val="—"/>
      <w:lvlJc w:val="left"/>
      <w:pPr>
        <w:tabs>
          <w:tab w:val="num" w:pos="1789"/>
        </w:tabs>
        <w:ind w:left="1789" w:hanging="360"/>
      </w:pPr>
      <w:rPr>
        <w:rFonts w:ascii="Ericsson Hilda Light" w:hAnsi="Ericsson Hilda Light" w:hint="default"/>
      </w:rPr>
    </w:lvl>
    <w:lvl w:ilvl="2" w:tplc="92B0D1CE">
      <w:start w:val="174"/>
      <w:numFmt w:val="bullet"/>
      <w:lvlText w:val="—"/>
      <w:lvlJc w:val="left"/>
      <w:pPr>
        <w:tabs>
          <w:tab w:val="num" w:pos="2509"/>
        </w:tabs>
        <w:ind w:left="2509" w:hanging="360"/>
      </w:pPr>
      <w:rPr>
        <w:rFonts w:ascii="Ericsson Hilda Light" w:hAnsi="Ericsson Hilda Light" w:hint="default"/>
      </w:rPr>
    </w:lvl>
    <w:lvl w:ilvl="3" w:tplc="5B182BD8" w:tentative="1">
      <w:start w:val="1"/>
      <w:numFmt w:val="bullet"/>
      <w:lvlText w:val="—"/>
      <w:lvlJc w:val="left"/>
      <w:pPr>
        <w:tabs>
          <w:tab w:val="num" w:pos="3229"/>
        </w:tabs>
        <w:ind w:left="3229" w:hanging="360"/>
      </w:pPr>
      <w:rPr>
        <w:rFonts w:ascii="Ericsson Hilda Light" w:hAnsi="Ericsson Hilda Light" w:hint="default"/>
      </w:rPr>
    </w:lvl>
    <w:lvl w:ilvl="4" w:tplc="541AF524" w:tentative="1">
      <w:start w:val="1"/>
      <w:numFmt w:val="bullet"/>
      <w:lvlText w:val="—"/>
      <w:lvlJc w:val="left"/>
      <w:pPr>
        <w:tabs>
          <w:tab w:val="num" w:pos="3949"/>
        </w:tabs>
        <w:ind w:left="3949" w:hanging="360"/>
      </w:pPr>
      <w:rPr>
        <w:rFonts w:ascii="Ericsson Hilda Light" w:hAnsi="Ericsson Hilda Light" w:hint="default"/>
      </w:rPr>
    </w:lvl>
    <w:lvl w:ilvl="5" w:tplc="EA4283C6" w:tentative="1">
      <w:start w:val="1"/>
      <w:numFmt w:val="bullet"/>
      <w:lvlText w:val="—"/>
      <w:lvlJc w:val="left"/>
      <w:pPr>
        <w:tabs>
          <w:tab w:val="num" w:pos="4669"/>
        </w:tabs>
        <w:ind w:left="4669" w:hanging="360"/>
      </w:pPr>
      <w:rPr>
        <w:rFonts w:ascii="Ericsson Hilda Light" w:hAnsi="Ericsson Hilda Light" w:hint="default"/>
      </w:rPr>
    </w:lvl>
    <w:lvl w:ilvl="6" w:tplc="B70E1D32" w:tentative="1">
      <w:start w:val="1"/>
      <w:numFmt w:val="bullet"/>
      <w:lvlText w:val="—"/>
      <w:lvlJc w:val="left"/>
      <w:pPr>
        <w:tabs>
          <w:tab w:val="num" w:pos="5389"/>
        </w:tabs>
        <w:ind w:left="5389" w:hanging="360"/>
      </w:pPr>
      <w:rPr>
        <w:rFonts w:ascii="Ericsson Hilda Light" w:hAnsi="Ericsson Hilda Light" w:hint="default"/>
      </w:rPr>
    </w:lvl>
    <w:lvl w:ilvl="7" w:tplc="68E479F4" w:tentative="1">
      <w:start w:val="1"/>
      <w:numFmt w:val="bullet"/>
      <w:lvlText w:val="—"/>
      <w:lvlJc w:val="left"/>
      <w:pPr>
        <w:tabs>
          <w:tab w:val="num" w:pos="6109"/>
        </w:tabs>
        <w:ind w:left="6109" w:hanging="360"/>
      </w:pPr>
      <w:rPr>
        <w:rFonts w:ascii="Ericsson Hilda Light" w:hAnsi="Ericsson Hilda Light" w:hint="default"/>
      </w:rPr>
    </w:lvl>
    <w:lvl w:ilvl="8" w:tplc="0EC610C8" w:tentative="1">
      <w:start w:val="1"/>
      <w:numFmt w:val="bullet"/>
      <w:lvlText w:val="—"/>
      <w:lvlJc w:val="left"/>
      <w:pPr>
        <w:tabs>
          <w:tab w:val="num" w:pos="6829"/>
        </w:tabs>
        <w:ind w:left="6829" w:hanging="360"/>
      </w:pPr>
      <w:rPr>
        <w:rFonts w:ascii="Ericsson Hilda Light" w:hAnsi="Ericsson Hilda Light"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96D4D"/>
    <w:multiLevelType w:val="hybridMultilevel"/>
    <w:tmpl w:val="7690F9B8"/>
    <w:lvl w:ilvl="0" w:tplc="0409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start w:val="1"/>
      <w:numFmt w:val="bullet"/>
      <w:lvlText w:val=""/>
      <w:lvlJc w:val="left"/>
      <w:pPr>
        <w:ind w:left="2977" w:hanging="360"/>
      </w:pPr>
      <w:rPr>
        <w:rFonts w:ascii="Symbol" w:hAnsi="Symbol" w:hint="default"/>
      </w:rPr>
    </w:lvl>
    <w:lvl w:ilvl="4" w:tplc="04090003">
      <w:start w:val="1"/>
      <w:numFmt w:val="bullet"/>
      <w:lvlText w:val="o"/>
      <w:lvlJc w:val="left"/>
      <w:pPr>
        <w:ind w:left="3697" w:hanging="360"/>
      </w:pPr>
      <w:rPr>
        <w:rFonts w:ascii="Courier New" w:hAnsi="Courier New" w:cs="Courier New" w:hint="default"/>
      </w:rPr>
    </w:lvl>
    <w:lvl w:ilvl="5" w:tplc="04090005">
      <w:start w:val="1"/>
      <w:numFmt w:val="bullet"/>
      <w:lvlText w:val=""/>
      <w:lvlJc w:val="left"/>
      <w:pPr>
        <w:ind w:left="4417" w:hanging="360"/>
      </w:pPr>
      <w:rPr>
        <w:rFonts w:ascii="Wingdings" w:hAnsi="Wingdings" w:hint="default"/>
      </w:rPr>
    </w:lvl>
    <w:lvl w:ilvl="6" w:tplc="04090001">
      <w:start w:val="1"/>
      <w:numFmt w:val="bullet"/>
      <w:lvlText w:val=""/>
      <w:lvlJc w:val="left"/>
      <w:pPr>
        <w:ind w:left="5137" w:hanging="360"/>
      </w:pPr>
      <w:rPr>
        <w:rFonts w:ascii="Symbol" w:hAnsi="Symbol" w:hint="default"/>
      </w:rPr>
    </w:lvl>
    <w:lvl w:ilvl="7" w:tplc="04090003">
      <w:start w:val="1"/>
      <w:numFmt w:val="bullet"/>
      <w:lvlText w:val="o"/>
      <w:lvlJc w:val="left"/>
      <w:pPr>
        <w:ind w:left="5857" w:hanging="360"/>
      </w:pPr>
      <w:rPr>
        <w:rFonts w:ascii="Courier New" w:hAnsi="Courier New" w:cs="Courier New" w:hint="default"/>
      </w:rPr>
    </w:lvl>
    <w:lvl w:ilvl="8" w:tplc="04090005">
      <w:start w:val="1"/>
      <w:numFmt w:val="bullet"/>
      <w:lvlText w:val=""/>
      <w:lvlJc w:val="left"/>
      <w:pPr>
        <w:ind w:left="657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B60BD2"/>
    <w:multiLevelType w:val="hybridMultilevel"/>
    <w:tmpl w:val="3F66956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C9B497B"/>
    <w:multiLevelType w:val="hybridMultilevel"/>
    <w:tmpl w:val="C9927920"/>
    <w:lvl w:ilvl="0" w:tplc="83B8CA12">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CB943FE"/>
    <w:multiLevelType w:val="hybridMultilevel"/>
    <w:tmpl w:val="642A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C34B93"/>
    <w:multiLevelType w:val="hybridMultilevel"/>
    <w:tmpl w:val="407C42C2"/>
    <w:lvl w:ilvl="0" w:tplc="6AE66CDA">
      <w:start w:val="2"/>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F009AF"/>
    <w:multiLevelType w:val="hybridMultilevel"/>
    <w:tmpl w:val="C07E3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260" w:hanging="4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D5879F5"/>
    <w:multiLevelType w:val="hybridMultilevel"/>
    <w:tmpl w:val="0350543A"/>
    <w:lvl w:ilvl="0" w:tplc="331621CE">
      <w:start w:val="1"/>
      <w:numFmt w:val="bullet"/>
      <w:lvlText w:val="—"/>
      <w:lvlJc w:val="left"/>
      <w:pPr>
        <w:tabs>
          <w:tab w:val="num" w:pos="360"/>
        </w:tabs>
        <w:ind w:left="360" w:hanging="360"/>
      </w:pPr>
      <w:rPr>
        <w:rFonts w:ascii="Ericsson Hilda Light" w:hAnsi="Ericsson Hilda Light"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28"/>
  </w:num>
  <w:num w:numId="3">
    <w:abstractNumId w:val="19"/>
  </w:num>
  <w:num w:numId="4">
    <w:abstractNumId w:val="21"/>
  </w:num>
  <w:num w:numId="5">
    <w:abstractNumId w:val="11"/>
  </w:num>
  <w:num w:numId="6">
    <w:abstractNumId w:val="25"/>
  </w:num>
  <w:num w:numId="7">
    <w:abstractNumId w:val="32"/>
  </w:num>
  <w:num w:numId="8">
    <w:abstractNumId w:val="13"/>
  </w:num>
  <w:num w:numId="9">
    <w:abstractNumId w:val="29"/>
  </w:num>
  <w:num w:numId="10">
    <w:abstractNumId w:val="18"/>
  </w:num>
  <w:num w:numId="11">
    <w:abstractNumId w:val="35"/>
  </w:num>
  <w:num w:numId="12">
    <w:abstractNumId w:val="26"/>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8"/>
  </w:num>
  <w:num w:numId="15">
    <w:abstractNumId w:val="10"/>
  </w:num>
  <w:num w:numId="16">
    <w:abstractNumId w:val="33"/>
  </w:num>
  <w:num w:numId="17">
    <w:abstractNumId w:val="34"/>
  </w:num>
  <w:num w:numId="18">
    <w:abstractNumId w:val="16"/>
  </w:num>
  <w:num w:numId="19">
    <w:abstractNumId w:val="8"/>
  </w:num>
  <w:num w:numId="20">
    <w:abstractNumId w:val="27"/>
  </w:num>
  <w:num w:numId="21">
    <w:abstractNumId w:val="36"/>
  </w:num>
  <w:num w:numId="22">
    <w:abstractNumId w:val="41"/>
  </w:num>
  <w:num w:numId="23">
    <w:abstractNumId w:val="39"/>
  </w:num>
  <w:num w:numId="24">
    <w:abstractNumId w:val="15"/>
  </w:num>
  <w:num w:numId="25">
    <w:abstractNumId w:val="3"/>
  </w:num>
  <w:num w:numId="26">
    <w:abstractNumId w:val="20"/>
  </w:num>
  <w:num w:numId="27">
    <w:abstractNumId w:val="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14"/>
  </w:num>
  <w:num w:numId="35">
    <w:abstractNumId w:val="31"/>
  </w:num>
  <w:num w:numId="36">
    <w:abstractNumId w:val="7"/>
  </w:num>
  <w:num w:numId="37">
    <w:abstractNumId w:val="2"/>
  </w:num>
  <w:num w:numId="38">
    <w:abstractNumId w:val="24"/>
  </w:num>
  <w:num w:numId="39">
    <w:abstractNumId w:val="30"/>
  </w:num>
  <w:num w:numId="40">
    <w:abstractNumId w:val="22"/>
  </w:num>
  <w:num w:numId="41">
    <w:abstractNumId w:val="12"/>
  </w:num>
  <w:num w:numId="42">
    <w:abstractNumId w:val="23"/>
  </w:num>
  <w:num w:numId="43">
    <w:abstractNumId w:val="42"/>
  </w:num>
  <w:num w:numId="4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9"/>
  </w:num>
  <w:num w:numId="48">
    <w:abstractNumId w:val="17"/>
  </w:num>
  <w:num w:numId="49">
    <w:abstractNumId w:val="43"/>
  </w:num>
  <w:num w:numId="50">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F7A"/>
    <w:rsid w:val="00002446"/>
    <w:rsid w:val="000025E0"/>
    <w:rsid w:val="00002953"/>
    <w:rsid w:val="00002A37"/>
    <w:rsid w:val="00002AEA"/>
    <w:rsid w:val="000039B2"/>
    <w:rsid w:val="00003C8C"/>
    <w:rsid w:val="00003F5E"/>
    <w:rsid w:val="000048B8"/>
    <w:rsid w:val="0000504F"/>
    <w:rsid w:val="00005B58"/>
    <w:rsid w:val="00006446"/>
    <w:rsid w:val="00006512"/>
    <w:rsid w:val="00006896"/>
    <w:rsid w:val="0000736E"/>
    <w:rsid w:val="00007CDC"/>
    <w:rsid w:val="00007FD6"/>
    <w:rsid w:val="0001047E"/>
    <w:rsid w:val="00011B28"/>
    <w:rsid w:val="000124DF"/>
    <w:rsid w:val="00012B1E"/>
    <w:rsid w:val="000131DB"/>
    <w:rsid w:val="00013744"/>
    <w:rsid w:val="000155C8"/>
    <w:rsid w:val="00015D15"/>
    <w:rsid w:val="00016285"/>
    <w:rsid w:val="00016613"/>
    <w:rsid w:val="00016F17"/>
    <w:rsid w:val="00017C5A"/>
    <w:rsid w:val="00017ECF"/>
    <w:rsid w:val="00021550"/>
    <w:rsid w:val="00021F7C"/>
    <w:rsid w:val="00022AD0"/>
    <w:rsid w:val="00022E0A"/>
    <w:rsid w:val="000231BE"/>
    <w:rsid w:val="000245AB"/>
    <w:rsid w:val="00024CE0"/>
    <w:rsid w:val="0002564D"/>
    <w:rsid w:val="00025ECA"/>
    <w:rsid w:val="0002694F"/>
    <w:rsid w:val="00027643"/>
    <w:rsid w:val="00030B30"/>
    <w:rsid w:val="00031D23"/>
    <w:rsid w:val="000325B8"/>
    <w:rsid w:val="00032747"/>
    <w:rsid w:val="00034521"/>
    <w:rsid w:val="00034C15"/>
    <w:rsid w:val="00035802"/>
    <w:rsid w:val="00036BA1"/>
    <w:rsid w:val="000375C6"/>
    <w:rsid w:val="00040596"/>
    <w:rsid w:val="00041656"/>
    <w:rsid w:val="00042009"/>
    <w:rsid w:val="000421EF"/>
    <w:rsid w:val="000422E2"/>
    <w:rsid w:val="00042754"/>
    <w:rsid w:val="00042AE4"/>
    <w:rsid w:val="00042E89"/>
    <w:rsid w:val="00042F22"/>
    <w:rsid w:val="00042FEE"/>
    <w:rsid w:val="000436A1"/>
    <w:rsid w:val="000444EF"/>
    <w:rsid w:val="0004463C"/>
    <w:rsid w:val="0004468E"/>
    <w:rsid w:val="000451F7"/>
    <w:rsid w:val="000457E3"/>
    <w:rsid w:val="00045AA3"/>
    <w:rsid w:val="000466B1"/>
    <w:rsid w:val="000466D5"/>
    <w:rsid w:val="00046916"/>
    <w:rsid w:val="0004749D"/>
    <w:rsid w:val="0005092A"/>
    <w:rsid w:val="00051235"/>
    <w:rsid w:val="00052629"/>
    <w:rsid w:val="00052A07"/>
    <w:rsid w:val="00053304"/>
    <w:rsid w:val="000534E3"/>
    <w:rsid w:val="000546DE"/>
    <w:rsid w:val="00054A0B"/>
    <w:rsid w:val="000551A3"/>
    <w:rsid w:val="0005606A"/>
    <w:rsid w:val="0005607A"/>
    <w:rsid w:val="0005682F"/>
    <w:rsid w:val="00057117"/>
    <w:rsid w:val="0005715F"/>
    <w:rsid w:val="000572B5"/>
    <w:rsid w:val="00060465"/>
    <w:rsid w:val="00060DB1"/>
    <w:rsid w:val="0006128C"/>
    <w:rsid w:val="000616E7"/>
    <w:rsid w:val="00062025"/>
    <w:rsid w:val="000640B0"/>
    <w:rsid w:val="0006487E"/>
    <w:rsid w:val="000658AB"/>
    <w:rsid w:val="00065C9F"/>
    <w:rsid w:val="00065E1A"/>
    <w:rsid w:val="00065F67"/>
    <w:rsid w:val="00066AB6"/>
    <w:rsid w:val="00066BDA"/>
    <w:rsid w:val="00066F7E"/>
    <w:rsid w:val="00067139"/>
    <w:rsid w:val="000701B3"/>
    <w:rsid w:val="0007089E"/>
    <w:rsid w:val="00070A6B"/>
    <w:rsid w:val="00071A7D"/>
    <w:rsid w:val="00071CAA"/>
    <w:rsid w:val="00071EA6"/>
    <w:rsid w:val="00072530"/>
    <w:rsid w:val="000738D2"/>
    <w:rsid w:val="0007398C"/>
    <w:rsid w:val="000741A9"/>
    <w:rsid w:val="00074BEA"/>
    <w:rsid w:val="0007523A"/>
    <w:rsid w:val="000753A5"/>
    <w:rsid w:val="000758B4"/>
    <w:rsid w:val="0007601E"/>
    <w:rsid w:val="00076E49"/>
    <w:rsid w:val="000772CA"/>
    <w:rsid w:val="00077E5F"/>
    <w:rsid w:val="0008036A"/>
    <w:rsid w:val="00081AE6"/>
    <w:rsid w:val="00081EEA"/>
    <w:rsid w:val="00082BCB"/>
    <w:rsid w:val="00084AC4"/>
    <w:rsid w:val="000855EB"/>
    <w:rsid w:val="00085B52"/>
    <w:rsid w:val="000860BE"/>
    <w:rsid w:val="000866F2"/>
    <w:rsid w:val="00086D7C"/>
    <w:rsid w:val="00086DDC"/>
    <w:rsid w:val="00087C36"/>
    <w:rsid w:val="0009009F"/>
    <w:rsid w:val="0009022B"/>
    <w:rsid w:val="000906B8"/>
    <w:rsid w:val="00090F34"/>
    <w:rsid w:val="00091557"/>
    <w:rsid w:val="00091696"/>
    <w:rsid w:val="00091950"/>
    <w:rsid w:val="000924C1"/>
    <w:rsid w:val="000924F0"/>
    <w:rsid w:val="00093316"/>
    <w:rsid w:val="00093474"/>
    <w:rsid w:val="00093C48"/>
    <w:rsid w:val="00094174"/>
    <w:rsid w:val="00094388"/>
    <w:rsid w:val="0009510F"/>
    <w:rsid w:val="000A0001"/>
    <w:rsid w:val="000A05C1"/>
    <w:rsid w:val="000A119D"/>
    <w:rsid w:val="000A15BA"/>
    <w:rsid w:val="000A1B7B"/>
    <w:rsid w:val="000A2B85"/>
    <w:rsid w:val="000A2B8C"/>
    <w:rsid w:val="000A4BC2"/>
    <w:rsid w:val="000A4FF6"/>
    <w:rsid w:val="000A56F2"/>
    <w:rsid w:val="000A604F"/>
    <w:rsid w:val="000A65B0"/>
    <w:rsid w:val="000A6F80"/>
    <w:rsid w:val="000B0C8B"/>
    <w:rsid w:val="000B1071"/>
    <w:rsid w:val="000B2139"/>
    <w:rsid w:val="000B2548"/>
    <w:rsid w:val="000B2719"/>
    <w:rsid w:val="000B2CFF"/>
    <w:rsid w:val="000B34A6"/>
    <w:rsid w:val="000B3A8F"/>
    <w:rsid w:val="000B418A"/>
    <w:rsid w:val="000B4AB9"/>
    <w:rsid w:val="000B4B2D"/>
    <w:rsid w:val="000B5329"/>
    <w:rsid w:val="000B58C3"/>
    <w:rsid w:val="000B61E9"/>
    <w:rsid w:val="000B69FF"/>
    <w:rsid w:val="000B6D5F"/>
    <w:rsid w:val="000B7B60"/>
    <w:rsid w:val="000C0C0B"/>
    <w:rsid w:val="000C0CAB"/>
    <w:rsid w:val="000C165A"/>
    <w:rsid w:val="000C1AEB"/>
    <w:rsid w:val="000C25AD"/>
    <w:rsid w:val="000C2CC5"/>
    <w:rsid w:val="000C2E19"/>
    <w:rsid w:val="000C344E"/>
    <w:rsid w:val="000C3BAC"/>
    <w:rsid w:val="000C41F2"/>
    <w:rsid w:val="000C4377"/>
    <w:rsid w:val="000C4C24"/>
    <w:rsid w:val="000C4E23"/>
    <w:rsid w:val="000C7518"/>
    <w:rsid w:val="000C77C0"/>
    <w:rsid w:val="000D0D07"/>
    <w:rsid w:val="000D0E7E"/>
    <w:rsid w:val="000D0F2B"/>
    <w:rsid w:val="000D13EA"/>
    <w:rsid w:val="000D1880"/>
    <w:rsid w:val="000D22B4"/>
    <w:rsid w:val="000D316F"/>
    <w:rsid w:val="000D42E8"/>
    <w:rsid w:val="000D4797"/>
    <w:rsid w:val="000D60E3"/>
    <w:rsid w:val="000D6B2E"/>
    <w:rsid w:val="000D72B2"/>
    <w:rsid w:val="000E0009"/>
    <w:rsid w:val="000E0527"/>
    <w:rsid w:val="000E1E92"/>
    <w:rsid w:val="000E5327"/>
    <w:rsid w:val="000E63C4"/>
    <w:rsid w:val="000E77B8"/>
    <w:rsid w:val="000E7967"/>
    <w:rsid w:val="000F06D6"/>
    <w:rsid w:val="000F0EB1"/>
    <w:rsid w:val="000F1106"/>
    <w:rsid w:val="000F338F"/>
    <w:rsid w:val="000F3409"/>
    <w:rsid w:val="000F3678"/>
    <w:rsid w:val="000F3BE9"/>
    <w:rsid w:val="000F3C4F"/>
    <w:rsid w:val="000F3EB1"/>
    <w:rsid w:val="000F3F6C"/>
    <w:rsid w:val="000F47C6"/>
    <w:rsid w:val="000F4B4C"/>
    <w:rsid w:val="000F5BF5"/>
    <w:rsid w:val="000F600C"/>
    <w:rsid w:val="000F6D00"/>
    <w:rsid w:val="000F6DF3"/>
    <w:rsid w:val="0010048B"/>
    <w:rsid w:val="001005FF"/>
    <w:rsid w:val="00100B56"/>
    <w:rsid w:val="001010EB"/>
    <w:rsid w:val="00101484"/>
    <w:rsid w:val="001014BC"/>
    <w:rsid w:val="00101FEC"/>
    <w:rsid w:val="001023BF"/>
    <w:rsid w:val="0010429B"/>
    <w:rsid w:val="0010488A"/>
    <w:rsid w:val="001062FB"/>
    <w:rsid w:val="001063E6"/>
    <w:rsid w:val="001064BC"/>
    <w:rsid w:val="001070C4"/>
    <w:rsid w:val="0010715B"/>
    <w:rsid w:val="00107EE9"/>
    <w:rsid w:val="00110458"/>
    <w:rsid w:val="001118A8"/>
    <w:rsid w:val="00112C4A"/>
    <w:rsid w:val="00112C8C"/>
    <w:rsid w:val="001133A2"/>
    <w:rsid w:val="00113CF4"/>
    <w:rsid w:val="00114001"/>
    <w:rsid w:val="00114642"/>
    <w:rsid w:val="001146D6"/>
    <w:rsid w:val="001153EA"/>
    <w:rsid w:val="0011550B"/>
    <w:rsid w:val="00115643"/>
    <w:rsid w:val="00115ACE"/>
    <w:rsid w:val="001165ED"/>
    <w:rsid w:val="00116765"/>
    <w:rsid w:val="001170AB"/>
    <w:rsid w:val="0011781E"/>
    <w:rsid w:val="00117B93"/>
    <w:rsid w:val="00121401"/>
    <w:rsid w:val="001219F5"/>
    <w:rsid w:val="00121A20"/>
    <w:rsid w:val="0012320A"/>
    <w:rsid w:val="0012377F"/>
    <w:rsid w:val="00124314"/>
    <w:rsid w:val="001261DE"/>
    <w:rsid w:val="00126B27"/>
    <w:rsid w:val="00126B4A"/>
    <w:rsid w:val="00126B73"/>
    <w:rsid w:val="00127A16"/>
    <w:rsid w:val="00127A19"/>
    <w:rsid w:val="00127BE2"/>
    <w:rsid w:val="0013013F"/>
    <w:rsid w:val="00130FE5"/>
    <w:rsid w:val="00132FD0"/>
    <w:rsid w:val="00134339"/>
    <w:rsid w:val="001343DB"/>
    <w:rsid w:val="001344C0"/>
    <w:rsid w:val="001346FA"/>
    <w:rsid w:val="00134B7E"/>
    <w:rsid w:val="00135252"/>
    <w:rsid w:val="00135749"/>
    <w:rsid w:val="00135A79"/>
    <w:rsid w:val="00137841"/>
    <w:rsid w:val="00137AB5"/>
    <w:rsid w:val="00137BBC"/>
    <w:rsid w:val="00137F0B"/>
    <w:rsid w:val="00140153"/>
    <w:rsid w:val="00140491"/>
    <w:rsid w:val="00141767"/>
    <w:rsid w:val="001425D4"/>
    <w:rsid w:val="0014276F"/>
    <w:rsid w:val="00142E84"/>
    <w:rsid w:val="00143016"/>
    <w:rsid w:val="00144F4C"/>
    <w:rsid w:val="00145654"/>
    <w:rsid w:val="00146A8C"/>
    <w:rsid w:val="00146A8F"/>
    <w:rsid w:val="00151734"/>
    <w:rsid w:val="00151E23"/>
    <w:rsid w:val="00152422"/>
    <w:rsid w:val="001526E0"/>
    <w:rsid w:val="0015297A"/>
    <w:rsid w:val="0015373E"/>
    <w:rsid w:val="00154707"/>
    <w:rsid w:val="001551B5"/>
    <w:rsid w:val="001557F8"/>
    <w:rsid w:val="001561AC"/>
    <w:rsid w:val="00157E4B"/>
    <w:rsid w:val="00160DC3"/>
    <w:rsid w:val="00161351"/>
    <w:rsid w:val="001617D0"/>
    <w:rsid w:val="00162339"/>
    <w:rsid w:val="001625FC"/>
    <w:rsid w:val="0016289D"/>
    <w:rsid w:val="00162F87"/>
    <w:rsid w:val="001636EC"/>
    <w:rsid w:val="001659C1"/>
    <w:rsid w:val="001666E3"/>
    <w:rsid w:val="0017041B"/>
    <w:rsid w:val="00170891"/>
    <w:rsid w:val="00170FC4"/>
    <w:rsid w:val="001713EB"/>
    <w:rsid w:val="001723FD"/>
    <w:rsid w:val="0017253E"/>
    <w:rsid w:val="001731F8"/>
    <w:rsid w:val="00173A8E"/>
    <w:rsid w:val="00174111"/>
    <w:rsid w:val="001742B8"/>
    <w:rsid w:val="00174925"/>
    <w:rsid w:val="00175052"/>
    <w:rsid w:val="0017553F"/>
    <w:rsid w:val="00175F81"/>
    <w:rsid w:val="00176408"/>
    <w:rsid w:val="00176BB2"/>
    <w:rsid w:val="00177249"/>
    <w:rsid w:val="00177A67"/>
    <w:rsid w:val="00177B76"/>
    <w:rsid w:val="00180281"/>
    <w:rsid w:val="00180D3E"/>
    <w:rsid w:val="001811AA"/>
    <w:rsid w:val="0018143F"/>
    <w:rsid w:val="0018160B"/>
    <w:rsid w:val="001837B6"/>
    <w:rsid w:val="00184B0A"/>
    <w:rsid w:val="00185550"/>
    <w:rsid w:val="00185587"/>
    <w:rsid w:val="00186516"/>
    <w:rsid w:val="00186702"/>
    <w:rsid w:val="001909E5"/>
    <w:rsid w:val="00190AC1"/>
    <w:rsid w:val="001911DD"/>
    <w:rsid w:val="00192669"/>
    <w:rsid w:val="0019272F"/>
    <w:rsid w:val="001931D3"/>
    <w:rsid w:val="0019341A"/>
    <w:rsid w:val="001943F3"/>
    <w:rsid w:val="0019508A"/>
    <w:rsid w:val="00195A79"/>
    <w:rsid w:val="00196C4D"/>
    <w:rsid w:val="001975BF"/>
    <w:rsid w:val="00197DF9"/>
    <w:rsid w:val="00197F9E"/>
    <w:rsid w:val="001A0FCE"/>
    <w:rsid w:val="001A1987"/>
    <w:rsid w:val="001A2564"/>
    <w:rsid w:val="001A43E7"/>
    <w:rsid w:val="001A5DB2"/>
    <w:rsid w:val="001A5E55"/>
    <w:rsid w:val="001A6173"/>
    <w:rsid w:val="001A6CBA"/>
    <w:rsid w:val="001B0120"/>
    <w:rsid w:val="001B03F3"/>
    <w:rsid w:val="001B05A2"/>
    <w:rsid w:val="001B0BC4"/>
    <w:rsid w:val="001B0CC7"/>
    <w:rsid w:val="001B0D97"/>
    <w:rsid w:val="001B1A26"/>
    <w:rsid w:val="001B24FD"/>
    <w:rsid w:val="001B3648"/>
    <w:rsid w:val="001B4C09"/>
    <w:rsid w:val="001B5A5D"/>
    <w:rsid w:val="001B5AE8"/>
    <w:rsid w:val="001B604C"/>
    <w:rsid w:val="001B6AA6"/>
    <w:rsid w:val="001B6C05"/>
    <w:rsid w:val="001B7403"/>
    <w:rsid w:val="001B7977"/>
    <w:rsid w:val="001B7DFA"/>
    <w:rsid w:val="001C1CE5"/>
    <w:rsid w:val="001C3D2A"/>
    <w:rsid w:val="001C3FC0"/>
    <w:rsid w:val="001C4352"/>
    <w:rsid w:val="001C461A"/>
    <w:rsid w:val="001C47BD"/>
    <w:rsid w:val="001C5B7A"/>
    <w:rsid w:val="001C6830"/>
    <w:rsid w:val="001C68DB"/>
    <w:rsid w:val="001C6D57"/>
    <w:rsid w:val="001C7FCB"/>
    <w:rsid w:val="001D0996"/>
    <w:rsid w:val="001D0AD0"/>
    <w:rsid w:val="001D0C9C"/>
    <w:rsid w:val="001D197B"/>
    <w:rsid w:val="001D2404"/>
    <w:rsid w:val="001D2576"/>
    <w:rsid w:val="001D2F2E"/>
    <w:rsid w:val="001D315B"/>
    <w:rsid w:val="001D3EA9"/>
    <w:rsid w:val="001D42F6"/>
    <w:rsid w:val="001D4B47"/>
    <w:rsid w:val="001D4BEB"/>
    <w:rsid w:val="001D51BA"/>
    <w:rsid w:val="001D5604"/>
    <w:rsid w:val="001D56AE"/>
    <w:rsid w:val="001D6342"/>
    <w:rsid w:val="001D6402"/>
    <w:rsid w:val="001D64D2"/>
    <w:rsid w:val="001D6D53"/>
    <w:rsid w:val="001D75F6"/>
    <w:rsid w:val="001D7C7F"/>
    <w:rsid w:val="001E0DEF"/>
    <w:rsid w:val="001E1A42"/>
    <w:rsid w:val="001E2560"/>
    <w:rsid w:val="001E3509"/>
    <w:rsid w:val="001E3B2B"/>
    <w:rsid w:val="001E3BCD"/>
    <w:rsid w:val="001E498A"/>
    <w:rsid w:val="001E5176"/>
    <w:rsid w:val="001E58E2"/>
    <w:rsid w:val="001E633E"/>
    <w:rsid w:val="001E7AED"/>
    <w:rsid w:val="001F06E2"/>
    <w:rsid w:val="001F1645"/>
    <w:rsid w:val="001F2DB2"/>
    <w:rsid w:val="001F36BE"/>
    <w:rsid w:val="001F36EB"/>
    <w:rsid w:val="001F3916"/>
    <w:rsid w:val="001F3985"/>
    <w:rsid w:val="001F3C3C"/>
    <w:rsid w:val="001F4E61"/>
    <w:rsid w:val="001F54C5"/>
    <w:rsid w:val="001F59DA"/>
    <w:rsid w:val="001F5D72"/>
    <w:rsid w:val="001F662C"/>
    <w:rsid w:val="001F7074"/>
    <w:rsid w:val="00200019"/>
    <w:rsid w:val="00200490"/>
    <w:rsid w:val="0020103F"/>
    <w:rsid w:val="0020131E"/>
    <w:rsid w:val="00201C98"/>
    <w:rsid w:val="00201F3A"/>
    <w:rsid w:val="00202B4F"/>
    <w:rsid w:val="00203CD0"/>
    <w:rsid w:val="00203F96"/>
    <w:rsid w:val="002050E8"/>
    <w:rsid w:val="00205CE2"/>
    <w:rsid w:val="00205D7F"/>
    <w:rsid w:val="0020616C"/>
    <w:rsid w:val="002067A0"/>
    <w:rsid w:val="002069B2"/>
    <w:rsid w:val="0020713B"/>
    <w:rsid w:val="00207161"/>
    <w:rsid w:val="0020762A"/>
    <w:rsid w:val="00207729"/>
    <w:rsid w:val="0020797E"/>
    <w:rsid w:val="00207EDB"/>
    <w:rsid w:val="00207FA3"/>
    <w:rsid w:val="00210B90"/>
    <w:rsid w:val="00211031"/>
    <w:rsid w:val="002116C8"/>
    <w:rsid w:val="002119D2"/>
    <w:rsid w:val="00212E3B"/>
    <w:rsid w:val="002147E5"/>
    <w:rsid w:val="00214DA8"/>
    <w:rsid w:val="00215423"/>
    <w:rsid w:val="002158FA"/>
    <w:rsid w:val="0021627C"/>
    <w:rsid w:val="00216FE0"/>
    <w:rsid w:val="00217193"/>
    <w:rsid w:val="00217242"/>
    <w:rsid w:val="0021725C"/>
    <w:rsid w:val="0021758B"/>
    <w:rsid w:val="002179E1"/>
    <w:rsid w:val="00217CF9"/>
    <w:rsid w:val="00220465"/>
    <w:rsid w:val="00220600"/>
    <w:rsid w:val="00220DD8"/>
    <w:rsid w:val="00221488"/>
    <w:rsid w:val="00221874"/>
    <w:rsid w:val="002224DB"/>
    <w:rsid w:val="00223113"/>
    <w:rsid w:val="002234AE"/>
    <w:rsid w:val="00223E6D"/>
    <w:rsid w:val="00223FCB"/>
    <w:rsid w:val="002252C3"/>
    <w:rsid w:val="00225C54"/>
    <w:rsid w:val="00226B2B"/>
    <w:rsid w:val="00230765"/>
    <w:rsid w:val="0023134E"/>
    <w:rsid w:val="002319E4"/>
    <w:rsid w:val="00233A9F"/>
    <w:rsid w:val="00233DDF"/>
    <w:rsid w:val="00234CA0"/>
    <w:rsid w:val="00235128"/>
    <w:rsid w:val="0023527D"/>
    <w:rsid w:val="00235632"/>
    <w:rsid w:val="00235837"/>
    <w:rsid w:val="00235872"/>
    <w:rsid w:val="00236BB8"/>
    <w:rsid w:val="0023728E"/>
    <w:rsid w:val="00237294"/>
    <w:rsid w:val="00237FF2"/>
    <w:rsid w:val="00240040"/>
    <w:rsid w:val="00240462"/>
    <w:rsid w:val="00240AB6"/>
    <w:rsid w:val="00241124"/>
    <w:rsid w:val="00241559"/>
    <w:rsid w:val="0024187F"/>
    <w:rsid w:val="0024327B"/>
    <w:rsid w:val="002435B3"/>
    <w:rsid w:val="002451ED"/>
    <w:rsid w:val="002454AC"/>
    <w:rsid w:val="002458EB"/>
    <w:rsid w:val="00245C42"/>
    <w:rsid w:val="002462D4"/>
    <w:rsid w:val="002465C9"/>
    <w:rsid w:val="00247B69"/>
    <w:rsid w:val="00247BE8"/>
    <w:rsid w:val="00247E38"/>
    <w:rsid w:val="002500C8"/>
    <w:rsid w:val="00251916"/>
    <w:rsid w:val="00251DD8"/>
    <w:rsid w:val="0025232C"/>
    <w:rsid w:val="002542B5"/>
    <w:rsid w:val="00255C48"/>
    <w:rsid w:val="0025693D"/>
    <w:rsid w:val="00256A27"/>
    <w:rsid w:val="002573C2"/>
    <w:rsid w:val="00257543"/>
    <w:rsid w:val="0025767C"/>
    <w:rsid w:val="00257BC5"/>
    <w:rsid w:val="00260520"/>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42E"/>
    <w:rsid w:val="00265BA8"/>
    <w:rsid w:val="00266214"/>
    <w:rsid w:val="0026626B"/>
    <w:rsid w:val="00266850"/>
    <w:rsid w:val="00267824"/>
    <w:rsid w:val="00267C83"/>
    <w:rsid w:val="00270A62"/>
    <w:rsid w:val="0027144F"/>
    <w:rsid w:val="00271803"/>
    <w:rsid w:val="00271813"/>
    <w:rsid w:val="00271F3A"/>
    <w:rsid w:val="00272BED"/>
    <w:rsid w:val="00272F61"/>
    <w:rsid w:val="00273278"/>
    <w:rsid w:val="002737F4"/>
    <w:rsid w:val="00273E45"/>
    <w:rsid w:val="00273F38"/>
    <w:rsid w:val="00274025"/>
    <w:rsid w:val="00274276"/>
    <w:rsid w:val="00274EE6"/>
    <w:rsid w:val="00275261"/>
    <w:rsid w:val="00275A8F"/>
    <w:rsid w:val="00276FD0"/>
    <w:rsid w:val="00277B43"/>
    <w:rsid w:val="00277CB7"/>
    <w:rsid w:val="002805F5"/>
    <w:rsid w:val="00280751"/>
    <w:rsid w:val="00280A61"/>
    <w:rsid w:val="00280F79"/>
    <w:rsid w:val="00282270"/>
    <w:rsid w:val="0028280A"/>
    <w:rsid w:val="00282D77"/>
    <w:rsid w:val="00283179"/>
    <w:rsid w:val="00283ADC"/>
    <w:rsid w:val="00283F13"/>
    <w:rsid w:val="00285E1E"/>
    <w:rsid w:val="00285F6F"/>
    <w:rsid w:val="00286390"/>
    <w:rsid w:val="0028691E"/>
    <w:rsid w:val="00286ACD"/>
    <w:rsid w:val="00287838"/>
    <w:rsid w:val="00287886"/>
    <w:rsid w:val="00287A3D"/>
    <w:rsid w:val="00290317"/>
    <w:rsid w:val="002907B5"/>
    <w:rsid w:val="00290808"/>
    <w:rsid w:val="0029082A"/>
    <w:rsid w:val="00291027"/>
    <w:rsid w:val="002919CD"/>
    <w:rsid w:val="0029224C"/>
    <w:rsid w:val="002923FC"/>
    <w:rsid w:val="00292E35"/>
    <w:rsid w:val="00292EB7"/>
    <w:rsid w:val="00293453"/>
    <w:rsid w:val="00293647"/>
    <w:rsid w:val="00293EE2"/>
    <w:rsid w:val="00294021"/>
    <w:rsid w:val="0029429F"/>
    <w:rsid w:val="00294A66"/>
    <w:rsid w:val="00296227"/>
    <w:rsid w:val="00296F44"/>
    <w:rsid w:val="0029777D"/>
    <w:rsid w:val="002A055E"/>
    <w:rsid w:val="002A1A98"/>
    <w:rsid w:val="002A1D4E"/>
    <w:rsid w:val="002A2869"/>
    <w:rsid w:val="002A3080"/>
    <w:rsid w:val="002A348E"/>
    <w:rsid w:val="002A42F1"/>
    <w:rsid w:val="002A4867"/>
    <w:rsid w:val="002A4F9F"/>
    <w:rsid w:val="002A6ABA"/>
    <w:rsid w:val="002A7882"/>
    <w:rsid w:val="002B0168"/>
    <w:rsid w:val="002B0850"/>
    <w:rsid w:val="002B105C"/>
    <w:rsid w:val="002B1994"/>
    <w:rsid w:val="002B1A1F"/>
    <w:rsid w:val="002B1EFF"/>
    <w:rsid w:val="002B21A6"/>
    <w:rsid w:val="002B24D6"/>
    <w:rsid w:val="002B26F8"/>
    <w:rsid w:val="002B4954"/>
    <w:rsid w:val="002B5A3D"/>
    <w:rsid w:val="002B6176"/>
    <w:rsid w:val="002B7EBD"/>
    <w:rsid w:val="002C0280"/>
    <w:rsid w:val="002C0B86"/>
    <w:rsid w:val="002C100A"/>
    <w:rsid w:val="002C1610"/>
    <w:rsid w:val="002C29CB"/>
    <w:rsid w:val="002C2DC4"/>
    <w:rsid w:val="002C41E6"/>
    <w:rsid w:val="002C4CEA"/>
    <w:rsid w:val="002C4D7A"/>
    <w:rsid w:val="002C553C"/>
    <w:rsid w:val="002C6300"/>
    <w:rsid w:val="002C7649"/>
    <w:rsid w:val="002C7B53"/>
    <w:rsid w:val="002D071A"/>
    <w:rsid w:val="002D0BCF"/>
    <w:rsid w:val="002D133C"/>
    <w:rsid w:val="002D27D0"/>
    <w:rsid w:val="002D34B2"/>
    <w:rsid w:val="002D43C7"/>
    <w:rsid w:val="002D45A1"/>
    <w:rsid w:val="002D4C89"/>
    <w:rsid w:val="002D5689"/>
    <w:rsid w:val="002D5A9A"/>
    <w:rsid w:val="002D5FF2"/>
    <w:rsid w:val="002D7637"/>
    <w:rsid w:val="002D7B37"/>
    <w:rsid w:val="002E093B"/>
    <w:rsid w:val="002E17F2"/>
    <w:rsid w:val="002E19F4"/>
    <w:rsid w:val="002E4B33"/>
    <w:rsid w:val="002E4DA3"/>
    <w:rsid w:val="002E51E4"/>
    <w:rsid w:val="002E5864"/>
    <w:rsid w:val="002E5B7A"/>
    <w:rsid w:val="002E6401"/>
    <w:rsid w:val="002E6755"/>
    <w:rsid w:val="002E72A7"/>
    <w:rsid w:val="002E7CAE"/>
    <w:rsid w:val="002F0C55"/>
    <w:rsid w:val="002F10A6"/>
    <w:rsid w:val="002F18B7"/>
    <w:rsid w:val="002F1969"/>
    <w:rsid w:val="002F2771"/>
    <w:rsid w:val="002F2FE8"/>
    <w:rsid w:val="002F37A9"/>
    <w:rsid w:val="002F3A47"/>
    <w:rsid w:val="002F47F6"/>
    <w:rsid w:val="002F4976"/>
    <w:rsid w:val="002F5085"/>
    <w:rsid w:val="002F6062"/>
    <w:rsid w:val="002F6288"/>
    <w:rsid w:val="002F70B4"/>
    <w:rsid w:val="002F7566"/>
    <w:rsid w:val="00300553"/>
    <w:rsid w:val="003006AF"/>
    <w:rsid w:val="00300812"/>
    <w:rsid w:val="0030121B"/>
    <w:rsid w:val="00301CE6"/>
    <w:rsid w:val="0030256B"/>
    <w:rsid w:val="00302AEA"/>
    <w:rsid w:val="0030501F"/>
    <w:rsid w:val="0030512D"/>
    <w:rsid w:val="00305213"/>
    <w:rsid w:val="003054FD"/>
    <w:rsid w:val="00305D4D"/>
    <w:rsid w:val="0030628D"/>
    <w:rsid w:val="00307423"/>
    <w:rsid w:val="00307BA1"/>
    <w:rsid w:val="00310195"/>
    <w:rsid w:val="003103FD"/>
    <w:rsid w:val="003108CC"/>
    <w:rsid w:val="00310B3F"/>
    <w:rsid w:val="00310DE0"/>
    <w:rsid w:val="00311084"/>
    <w:rsid w:val="00311702"/>
    <w:rsid w:val="00311E82"/>
    <w:rsid w:val="00312851"/>
    <w:rsid w:val="00312E33"/>
    <w:rsid w:val="00312EA5"/>
    <w:rsid w:val="003130D8"/>
    <w:rsid w:val="00313470"/>
    <w:rsid w:val="00313FD6"/>
    <w:rsid w:val="00314202"/>
    <w:rsid w:val="003143BD"/>
    <w:rsid w:val="003144ED"/>
    <w:rsid w:val="003148C2"/>
    <w:rsid w:val="00314D07"/>
    <w:rsid w:val="0031535D"/>
    <w:rsid w:val="00315B12"/>
    <w:rsid w:val="00315B9D"/>
    <w:rsid w:val="00315BF2"/>
    <w:rsid w:val="00315DCF"/>
    <w:rsid w:val="003167BC"/>
    <w:rsid w:val="0031684E"/>
    <w:rsid w:val="00317982"/>
    <w:rsid w:val="003203ED"/>
    <w:rsid w:val="003203F9"/>
    <w:rsid w:val="003208C9"/>
    <w:rsid w:val="003212B8"/>
    <w:rsid w:val="00321A94"/>
    <w:rsid w:val="00321FEC"/>
    <w:rsid w:val="0032276F"/>
    <w:rsid w:val="00322C9F"/>
    <w:rsid w:val="00322F83"/>
    <w:rsid w:val="003239F3"/>
    <w:rsid w:val="003241B7"/>
    <w:rsid w:val="00324D23"/>
    <w:rsid w:val="003257D6"/>
    <w:rsid w:val="00326813"/>
    <w:rsid w:val="00326D30"/>
    <w:rsid w:val="0032713F"/>
    <w:rsid w:val="00327997"/>
    <w:rsid w:val="0033117A"/>
    <w:rsid w:val="00331751"/>
    <w:rsid w:val="00331846"/>
    <w:rsid w:val="00331B7B"/>
    <w:rsid w:val="00333729"/>
    <w:rsid w:val="00333DE3"/>
    <w:rsid w:val="00334579"/>
    <w:rsid w:val="003345D1"/>
    <w:rsid w:val="00334F12"/>
    <w:rsid w:val="00335858"/>
    <w:rsid w:val="00335D33"/>
    <w:rsid w:val="00335D97"/>
    <w:rsid w:val="00336014"/>
    <w:rsid w:val="00336BDA"/>
    <w:rsid w:val="00337789"/>
    <w:rsid w:val="003406B3"/>
    <w:rsid w:val="003411EB"/>
    <w:rsid w:val="00341900"/>
    <w:rsid w:val="00341F41"/>
    <w:rsid w:val="00341FEB"/>
    <w:rsid w:val="00342AD7"/>
    <w:rsid w:val="00342BD7"/>
    <w:rsid w:val="00343B58"/>
    <w:rsid w:val="00344F6C"/>
    <w:rsid w:val="00345999"/>
    <w:rsid w:val="0034698D"/>
    <w:rsid w:val="00346DB5"/>
    <w:rsid w:val="00346E10"/>
    <w:rsid w:val="00347233"/>
    <w:rsid w:val="003474E4"/>
    <w:rsid w:val="003477B1"/>
    <w:rsid w:val="00347AD9"/>
    <w:rsid w:val="00350C94"/>
    <w:rsid w:val="003513F0"/>
    <w:rsid w:val="00352223"/>
    <w:rsid w:val="003532EF"/>
    <w:rsid w:val="0035361E"/>
    <w:rsid w:val="0035474F"/>
    <w:rsid w:val="00355944"/>
    <w:rsid w:val="00355ECD"/>
    <w:rsid w:val="00356A14"/>
    <w:rsid w:val="00356AB8"/>
    <w:rsid w:val="00357380"/>
    <w:rsid w:val="003602D9"/>
    <w:rsid w:val="003604CE"/>
    <w:rsid w:val="0036056F"/>
    <w:rsid w:val="00360A9B"/>
    <w:rsid w:val="00361500"/>
    <w:rsid w:val="00362946"/>
    <w:rsid w:val="00362E37"/>
    <w:rsid w:val="00362F7E"/>
    <w:rsid w:val="0036444C"/>
    <w:rsid w:val="00364B1B"/>
    <w:rsid w:val="00364B2A"/>
    <w:rsid w:val="00364E64"/>
    <w:rsid w:val="00365A87"/>
    <w:rsid w:val="003660B8"/>
    <w:rsid w:val="0036691C"/>
    <w:rsid w:val="00370046"/>
    <w:rsid w:val="00370217"/>
    <w:rsid w:val="003709EB"/>
    <w:rsid w:val="00370AEE"/>
    <w:rsid w:val="00370E47"/>
    <w:rsid w:val="003713A5"/>
    <w:rsid w:val="003716E6"/>
    <w:rsid w:val="00373AEC"/>
    <w:rsid w:val="003742AC"/>
    <w:rsid w:val="00374ADB"/>
    <w:rsid w:val="00375759"/>
    <w:rsid w:val="003771FE"/>
    <w:rsid w:val="003773A8"/>
    <w:rsid w:val="003773D1"/>
    <w:rsid w:val="0037798D"/>
    <w:rsid w:val="00377CE1"/>
    <w:rsid w:val="00377CF9"/>
    <w:rsid w:val="003802D7"/>
    <w:rsid w:val="0038052F"/>
    <w:rsid w:val="00380B8A"/>
    <w:rsid w:val="00380BA4"/>
    <w:rsid w:val="00380CA8"/>
    <w:rsid w:val="003812CF"/>
    <w:rsid w:val="00382F6E"/>
    <w:rsid w:val="00383866"/>
    <w:rsid w:val="00385BF0"/>
    <w:rsid w:val="00386FE5"/>
    <w:rsid w:val="00387670"/>
    <w:rsid w:val="003904DB"/>
    <w:rsid w:val="0039136C"/>
    <w:rsid w:val="003939FF"/>
    <w:rsid w:val="003941EA"/>
    <w:rsid w:val="003942AF"/>
    <w:rsid w:val="003945B5"/>
    <w:rsid w:val="003947C2"/>
    <w:rsid w:val="0039536D"/>
    <w:rsid w:val="00395435"/>
    <w:rsid w:val="00395647"/>
    <w:rsid w:val="00396589"/>
    <w:rsid w:val="00396677"/>
    <w:rsid w:val="00396C17"/>
    <w:rsid w:val="00396D7D"/>
    <w:rsid w:val="00396F7A"/>
    <w:rsid w:val="00397E79"/>
    <w:rsid w:val="00397F07"/>
    <w:rsid w:val="003A0AB2"/>
    <w:rsid w:val="003A0B31"/>
    <w:rsid w:val="003A0E41"/>
    <w:rsid w:val="003A1D63"/>
    <w:rsid w:val="003A206D"/>
    <w:rsid w:val="003A2223"/>
    <w:rsid w:val="003A246A"/>
    <w:rsid w:val="003A26C7"/>
    <w:rsid w:val="003A2A0F"/>
    <w:rsid w:val="003A300B"/>
    <w:rsid w:val="003A3D86"/>
    <w:rsid w:val="003A414E"/>
    <w:rsid w:val="003A45A1"/>
    <w:rsid w:val="003A49B9"/>
    <w:rsid w:val="003A4A33"/>
    <w:rsid w:val="003A4CFA"/>
    <w:rsid w:val="003A5263"/>
    <w:rsid w:val="003A58EC"/>
    <w:rsid w:val="003A5B0A"/>
    <w:rsid w:val="003A5E49"/>
    <w:rsid w:val="003A6BAC"/>
    <w:rsid w:val="003A7EF3"/>
    <w:rsid w:val="003B03FB"/>
    <w:rsid w:val="003B159C"/>
    <w:rsid w:val="003B1AF6"/>
    <w:rsid w:val="003B2549"/>
    <w:rsid w:val="003B25C3"/>
    <w:rsid w:val="003B27E8"/>
    <w:rsid w:val="003B369F"/>
    <w:rsid w:val="003B36A3"/>
    <w:rsid w:val="003B3B1E"/>
    <w:rsid w:val="003B704C"/>
    <w:rsid w:val="003B7283"/>
    <w:rsid w:val="003B7603"/>
    <w:rsid w:val="003B7FE5"/>
    <w:rsid w:val="003C11C8"/>
    <w:rsid w:val="003C14B0"/>
    <w:rsid w:val="003C14FE"/>
    <w:rsid w:val="003C1FCD"/>
    <w:rsid w:val="003C214E"/>
    <w:rsid w:val="003C2702"/>
    <w:rsid w:val="003C28C7"/>
    <w:rsid w:val="003C2945"/>
    <w:rsid w:val="003C3069"/>
    <w:rsid w:val="003C4989"/>
    <w:rsid w:val="003C4F0A"/>
    <w:rsid w:val="003C4F2A"/>
    <w:rsid w:val="003C5348"/>
    <w:rsid w:val="003C5855"/>
    <w:rsid w:val="003C6104"/>
    <w:rsid w:val="003C6597"/>
    <w:rsid w:val="003C6886"/>
    <w:rsid w:val="003C6A62"/>
    <w:rsid w:val="003C6BE4"/>
    <w:rsid w:val="003C6E60"/>
    <w:rsid w:val="003C75D4"/>
    <w:rsid w:val="003C7806"/>
    <w:rsid w:val="003C7DA5"/>
    <w:rsid w:val="003D00DC"/>
    <w:rsid w:val="003D064E"/>
    <w:rsid w:val="003D109F"/>
    <w:rsid w:val="003D1650"/>
    <w:rsid w:val="003D1A37"/>
    <w:rsid w:val="003D2275"/>
    <w:rsid w:val="003D2290"/>
    <w:rsid w:val="003D2478"/>
    <w:rsid w:val="003D2951"/>
    <w:rsid w:val="003D2FB3"/>
    <w:rsid w:val="003D3C45"/>
    <w:rsid w:val="003D3E76"/>
    <w:rsid w:val="003D4098"/>
    <w:rsid w:val="003D4A8C"/>
    <w:rsid w:val="003D54E6"/>
    <w:rsid w:val="003D5B1F"/>
    <w:rsid w:val="003D5DBF"/>
    <w:rsid w:val="003E0C29"/>
    <w:rsid w:val="003E15FA"/>
    <w:rsid w:val="003E22B5"/>
    <w:rsid w:val="003E264E"/>
    <w:rsid w:val="003E3B3D"/>
    <w:rsid w:val="003E55E4"/>
    <w:rsid w:val="003E6745"/>
    <w:rsid w:val="003E694E"/>
    <w:rsid w:val="003E6A8E"/>
    <w:rsid w:val="003E74E3"/>
    <w:rsid w:val="003E7670"/>
    <w:rsid w:val="003F05C7"/>
    <w:rsid w:val="003F0D1F"/>
    <w:rsid w:val="003F1BE6"/>
    <w:rsid w:val="003F1C23"/>
    <w:rsid w:val="003F26F9"/>
    <w:rsid w:val="003F2CD4"/>
    <w:rsid w:val="003F304B"/>
    <w:rsid w:val="003F362C"/>
    <w:rsid w:val="003F3705"/>
    <w:rsid w:val="003F428A"/>
    <w:rsid w:val="003F42DD"/>
    <w:rsid w:val="003F5163"/>
    <w:rsid w:val="003F51FA"/>
    <w:rsid w:val="003F67A1"/>
    <w:rsid w:val="003F6BBE"/>
    <w:rsid w:val="003F6D10"/>
    <w:rsid w:val="003F6F56"/>
    <w:rsid w:val="003F738A"/>
    <w:rsid w:val="004000E8"/>
    <w:rsid w:val="00400881"/>
    <w:rsid w:val="00400C94"/>
    <w:rsid w:val="0040147F"/>
    <w:rsid w:val="004014F6"/>
    <w:rsid w:val="00401E05"/>
    <w:rsid w:val="00402348"/>
    <w:rsid w:val="00402DF3"/>
    <w:rsid w:val="00402E2B"/>
    <w:rsid w:val="004031FC"/>
    <w:rsid w:val="0040320B"/>
    <w:rsid w:val="004033B5"/>
    <w:rsid w:val="004034B0"/>
    <w:rsid w:val="004037D7"/>
    <w:rsid w:val="0040397B"/>
    <w:rsid w:val="00403D6A"/>
    <w:rsid w:val="004050EA"/>
    <w:rsid w:val="0040512B"/>
    <w:rsid w:val="00405B7A"/>
    <w:rsid w:val="00405CA5"/>
    <w:rsid w:val="004070FE"/>
    <w:rsid w:val="00407CD3"/>
    <w:rsid w:val="00410134"/>
    <w:rsid w:val="00410367"/>
    <w:rsid w:val="004106AF"/>
    <w:rsid w:val="00410831"/>
    <w:rsid w:val="0041097D"/>
    <w:rsid w:val="00410B72"/>
    <w:rsid w:val="00410F18"/>
    <w:rsid w:val="0041124C"/>
    <w:rsid w:val="004119D3"/>
    <w:rsid w:val="00411E91"/>
    <w:rsid w:val="0041263E"/>
    <w:rsid w:val="00412DB6"/>
    <w:rsid w:val="00412DDC"/>
    <w:rsid w:val="00413444"/>
    <w:rsid w:val="00413A23"/>
    <w:rsid w:val="00413AAC"/>
    <w:rsid w:val="00413E92"/>
    <w:rsid w:val="00413FEB"/>
    <w:rsid w:val="0041424B"/>
    <w:rsid w:val="004148F1"/>
    <w:rsid w:val="00415649"/>
    <w:rsid w:val="00415AA6"/>
    <w:rsid w:val="00416ACE"/>
    <w:rsid w:val="00416C18"/>
    <w:rsid w:val="004172DE"/>
    <w:rsid w:val="00417541"/>
    <w:rsid w:val="00417C5A"/>
    <w:rsid w:val="00417F94"/>
    <w:rsid w:val="0042071D"/>
    <w:rsid w:val="00420735"/>
    <w:rsid w:val="00421105"/>
    <w:rsid w:val="00422EBC"/>
    <w:rsid w:val="00423403"/>
    <w:rsid w:val="004237F6"/>
    <w:rsid w:val="0042381C"/>
    <w:rsid w:val="00423839"/>
    <w:rsid w:val="004242F4"/>
    <w:rsid w:val="00426DF7"/>
    <w:rsid w:val="00426F16"/>
    <w:rsid w:val="00427248"/>
    <w:rsid w:val="00430ACB"/>
    <w:rsid w:val="00430E8C"/>
    <w:rsid w:val="00432134"/>
    <w:rsid w:val="00432153"/>
    <w:rsid w:val="0043226F"/>
    <w:rsid w:val="004329F3"/>
    <w:rsid w:val="00432E92"/>
    <w:rsid w:val="00433A3F"/>
    <w:rsid w:val="00435F56"/>
    <w:rsid w:val="0043620E"/>
    <w:rsid w:val="0043648A"/>
    <w:rsid w:val="00436599"/>
    <w:rsid w:val="00436F0D"/>
    <w:rsid w:val="004372CE"/>
    <w:rsid w:val="00437447"/>
    <w:rsid w:val="004374A7"/>
    <w:rsid w:val="00437BF6"/>
    <w:rsid w:val="00437FB4"/>
    <w:rsid w:val="0044017F"/>
    <w:rsid w:val="0044039A"/>
    <w:rsid w:val="00440873"/>
    <w:rsid w:val="00441782"/>
    <w:rsid w:val="00441A92"/>
    <w:rsid w:val="0044231C"/>
    <w:rsid w:val="00442622"/>
    <w:rsid w:val="00442717"/>
    <w:rsid w:val="00442BC4"/>
    <w:rsid w:val="004435A9"/>
    <w:rsid w:val="00443C4C"/>
    <w:rsid w:val="00444CE2"/>
    <w:rsid w:val="00444F56"/>
    <w:rsid w:val="004458ED"/>
    <w:rsid w:val="00445B42"/>
    <w:rsid w:val="00445E03"/>
    <w:rsid w:val="00445EDC"/>
    <w:rsid w:val="00446488"/>
    <w:rsid w:val="00446767"/>
    <w:rsid w:val="004469DC"/>
    <w:rsid w:val="00446FA7"/>
    <w:rsid w:val="0044723D"/>
    <w:rsid w:val="0044746B"/>
    <w:rsid w:val="00447699"/>
    <w:rsid w:val="00447DE1"/>
    <w:rsid w:val="004501ED"/>
    <w:rsid w:val="00450817"/>
    <w:rsid w:val="00450B45"/>
    <w:rsid w:val="00450BE5"/>
    <w:rsid w:val="0045141A"/>
    <w:rsid w:val="004517AA"/>
    <w:rsid w:val="00452AAC"/>
    <w:rsid w:val="00452CAC"/>
    <w:rsid w:val="0045308C"/>
    <w:rsid w:val="0045382A"/>
    <w:rsid w:val="00453967"/>
    <w:rsid w:val="00454152"/>
    <w:rsid w:val="004543F1"/>
    <w:rsid w:val="00454DF9"/>
    <w:rsid w:val="00455839"/>
    <w:rsid w:val="004559F0"/>
    <w:rsid w:val="00456ABA"/>
    <w:rsid w:val="00456BE1"/>
    <w:rsid w:val="00457300"/>
    <w:rsid w:val="00457466"/>
    <w:rsid w:val="00457565"/>
    <w:rsid w:val="00457B71"/>
    <w:rsid w:val="00457E1D"/>
    <w:rsid w:val="004608A2"/>
    <w:rsid w:val="004628E9"/>
    <w:rsid w:val="0046337A"/>
    <w:rsid w:val="00464D2C"/>
    <w:rsid w:val="00465ABC"/>
    <w:rsid w:val="00465CE4"/>
    <w:rsid w:val="00465E70"/>
    <w:rsid w:val="004663A6"/>
    <w:rsid w:val="004669E2"/>
    <w:rsid w:val="00466AD6"/>
    <w:rsid w:val="00466C0E"/>
    <w:rsid w:val="00470C31"/>
    <w:rsid w:val="00471D25"/>
    <w:rsid w:val="0047221F"/>
    <w:rsid w:val="0047299D"/>
    <w:rsid w:val="004734D0"/>
    <w:rsid w:val="00473A06"/>
    <w:rsid w:val="00473E8E"/>
    <w:rsid w:val="004743EE"/>
    <w:rsid w:val="0047556B"/>
    <w:rsid w:val="00475DD4"/>
    <w:rsid w:val="00476481"/>
    <w:rsid w:val="00476C25"/>
    <w:rsid w:val="00477116"/>
    <w:rsid w:val="00477768"/>
    <w:rsid w:val="00477AF2"/>
    <w:rsid w:val="00477B73"/>
    <w:rsid w:val="00481584"/>
    <w:rsid w:val="00481735"/>
    <w:rsid w:val="00481B5C"/>
    <w:rsid w:val="0048341C"/>
    <w:rsid w:val="00483C1D"/>
    <w:rsid w:val="004843F2"/>
    <w:rsid w:val="00484622"/>
    <w:rsid w:val="004847B6"/>
    <w:rsid w:val="00485FFC"/>
    <w:rsid w:val="004866BF"/>
    <w:rsid w:val="00490A9C"/>
    <w:rsid w:val="00491011"/>
    <w:rsid w:val="00492A23"/>
    <w:rsid w:val="00492BC5"/>
    <w:rsid w:val="00493116"/>
    <w:rsid w:val="00493D55"/>
    <w:rsid w:val="00494846"/>
    <w:rsid w:val="0049568A"/>
    <w:rsid w:val="004960A3"/>
    <w:rsid w:val="004964F1"/>
    <w:rsid w:val="00496699"/>
    <w:rsid w:val="00496BAD"/>
    <w:rsid w:val="00496F74"/>
    <w:rsid w:val="0049791D"/>
    <w:rsid w:val="00497CC4"/>
    <w:rsid w:val="004A0B10"/>
    <w:rsid w:val="004A1056"/>
    <w:rsid w:val="004A1060"/>
    <w:rsid w:val="004A16BC"/>
    <w:rsid w:val="004A16F4"/>
    <w:rsid w:val="004A1DDB"/>
    <w:rsid w:val="004A1E12"/>
    <w:rsid w:val="004A2296"/>
    <w:rsid w:val="004A25D3"/>
    <w:rsid w:val="004A27A3"/>
    <w:rsid w:val="004A2B94"/>
    <w:rsid w:val="004A347A"/>
    <w:rsid w:val="004A3BE8"/>
    <w:rsid w:val="004A3D57"/>
    <w:rsid w:val="004A4AA2"/>
    <w:rsid w:val="004A5269"/>
    <w:rsid w:val="004A5B39"/>
    <w:rsid w:val="004A6AA8"/>
    <w:rsid w:val="004B02F1"/>
    <w:rsid w:val="004B03F6"/>
    <w:rsid w:val="004B09EB"/>
    <w:rsid w:val="004B1DDC"/>
    <w:rsid w:val="004B1FAF"/>
    <w:rsid w:val="004B28E2"/>
    <w:rsid w:val="004B306B"/>
    <w:rsid w:val="004B3491"/>
    <w:rsid w:val="004B356F"/>
    <w:rsid w:val="004B368B"/>
    <w:rsid w:val="004B474B"/>
    <w:rsid w:val="004B718B"/>
    <w:rsid w:val="004B7C0C"/>
    <w:rsid w:val="004B7CF3"/>
    <w:rsid w:val="004C0557"/>
    <w:rsid w:val="004C086B"/>
    <w:rsid w:val="004C36AD"/>
    <w:rsid w:val="004C3898"/>
    <w:rsid w:val="004C445F"/>
    <w:rsid w:val="004C5EA5"/>
    <w:rsid w:val="004C7E3A"/>
    <w:rsid w:val="004D022B"/>
    <w:rsid w:val="004D06EE"/>
    <w:rsid w:val="004D08DB"/>
    <w:rsid w:val="004D13E1"/>
    <w:rsid w:val="004D1981"/>
    <w:rsid w:val="004D24C5"/>
    <w:rsid w:val="004D36B1"/>
    <w:rsid w:val="004D4507"/>
    <w:rsid w:val="004D4CDD"/>
    <w:rsid w:val="004D4D88"/>
    <w:rsid w:val="004D5974"/>
    <w:rsid w:val="004D59EF"/>
    <w:rsid w:val="004D60BD"/>
    <w:rsid w:val="004D7C2B"/>
    <w:rsid w:val="004D7EBD"/>
    <w:rsid w:val="004E0476"/>
    <w:rsid w:val="004E100D"/>
    <w:rsid w:val="004E12F1"/>
    <w:rsid w:val="004E1930"/>
    <w:rsid w:val="004E1AB7"/>
    <w:rsid w:val="004E1FCE"/>
    <w:rsid w:val="004E246C"/>
    <w:rsid w:val="004E2680"/>
    <w:rsid w:val="004E28F9"/>
    <w:rsid w:val="004E29FF"/>
    <w:rsid w:val="004E31A9"/>
    <w:rsid w:val="004E33F3"/>
    <w:rsid w:val="004E42FD"/>
    <w:rsid w:val="004E462E"/>
    <w:rsid w:val="004E56DC"/>
    <w:rsid w:val="004E5FD5"/>
    <w:rsid w:val="004E6A85"/>
    <w:rsid w:val="004E6F93"/>
    <w:rsid w:val="004E76F4"/>
    <w:rsid w:val="004F0293"/>
    <w:rsid w:val="004F032D"/>
    <w:rsid w:val="004F0B4E"/>
    <w:rsid w:val="004F0B6C"/>
    <w:rsid w:val="004F17A6"/>
    <w:rsid w:val="004F19A8"/>
    <w:rsid w:val="004F2078"/>
    <w:rsid w:val="004F27AC"/>
    <w:rsid w:val="004F2C94"/>
    <w:rsid w:val="004F368A"/>
    <w:rsid w:val="004F4459"/>
    <w:rsid w:val="004F4670"/>
    <w:rsid w:val="004F46ED"/>
    <w:rsid w:val="004F4849"/>
    <w:rsid w:val="004F4DA3"/>
    <w:rsid w:val="004F53FD"/>
    <w:rsid w:val="004F5D30"/>
    <w:rsid w:val="004F662B"/>
    <w:rsid w:val="004F6A68"/>
    <w:rsid w:val="004F6C54"/>
    <w:rsid w:val="004F6CB9"/>
    <w:rsid w:val="004F723F"/>
    <w:rsid w:val="004F728D"/>
    <w:rsid w:val="00500578"/>
    <w:rsid w:val="00501C20"/>
    <w:rsid w:val="00501C33"/>
    <w:rsid w:val="0050241D"/>
    <w:rsid w:val="005027F4"/>
    <w:rsid w:val="00502E35"/>
    <w:rsid w:val="00503711"/>
    <w:rsid w:val="00505781"/>
    <w:rsid w:val="0050591F"/>
    <w:rsid w:val="00506557"/>
    <w:rsid w:val="0050677A"/>
    <w:rsid w:val="00506816"/>
    <w:rsid w:val="0050681B"/>
    <w:rsid w:val="00506B06"/>
    <w:rsid w:val="00506F61"/>
    <w:rsid w:val="00507DB1"/>
    <w:rsid w:val="00507DB5"/>
    <w:rsid w:val="00507EAC"/>
    <w:rsid w:val="005108CD"/>
    <w:rsid w:val="005108D8"/>
    <w:rsid w:val="00511236"/>
    <w:rsid w:val="005116F9"/>
    <w:rsid w:val="00511BFE"/>
    <w:rsid w:val="00513646"/>
    <w:rsid w:val="00514234"/>
    <w:rsid w:val="0051436A"/>
    <w:rsid w:val="005153A7"/>
    <w:rsid w:val="0051656B"/>
    <w:rsid w:val="00517FA4"/>
    <w:rsid w:val="005201C7"/>
    <w:rsid w:val="00521495"/>
    <w:rsid w:val="005219CF"/>
    <w:rsid w:val="00521BEA"/>
    <w:rsid w:val="00521DF1"/>
    <w:rsid w:val="00522461"/>
    <w:rsid w:val="00522D6A"/>
    <w:rsid w:val="0052439B"/>
    <w:rsid w:val="0052472F"/>
    <w:rsid w:val="0052626E"/>
    <w:rsid w:val="005311BE"/>
    <w:rsid w:val="00531E8B"/>
    <w:rsid w:val="0053268F"/>
    <w:rsid w:val="005336DB"/>
    <w:rsid w:val="0053410E"/>
    <w:rsid w:val="00534726"/>
    <w:rsid w:val="00534755"/>
    <w:rsid w:val="00534B59"/>
    <w:rsid w:val="00534DBB"/>
    <w:rsid w:val="00534E6D"/>
    <w:rsid w:val="0053534B"/>
    <w:rsid w:val="0053594E"/>
    <w:rsid w:val="00535E9E"/>
    <w:rsid w:val="00536759"/>
    <w:rsid w:val="00536D7D"/>
    <w:rsid w:val="005370EE"/>
    <w:rsid w:val="00537C62"/>
    <w:rsid w:val="00537F09"/>
    <w:rsid w:val="00540C40"/>
    <w:rsid w:val="005416D7"/>
    <w:rsid w:val="00541941"/>
    <w:rsid w:val="00541FA2"/>
    <w:rsid w:val="005426E0"/>
    <w:rsid w:val="005427FA"/>
    <w:rsid w:val="0054282F"/>
    <w:rsid w:val="00542AF0"/>
    <w:rsid w:val="00544A28"/>
    <w:rsid w:val="00544D21"/>
    <w:rsid w:val="00544FB7"/>
    <w:rsid w:val="0054568B"/>
    <w:rsid w:val="00545773"/>
    <w:rsid w:val="0054616C"/>
    <w:rsid w:val="00546180"/>
    <w:rsid w:val="00546774"/>
    <w:rsid w:val="00546970"/>
    <w:rsid w:val="00546EE8"/>
    <w:rsid w:val="00547542"/>
    <w:rsid w:val="00547DC5"/>
    <w:rsid w:val="00550442"/>
    <w:rsid w:val="0055228B"/>
    <w:rsid w:val="00552F5F"/>
    <w:rsid w:val="005540FB"/>
    <w:rsid w:val="00554192"/>
    <w:rsid w:val="005549AF"/>
    <w:rsid w:val="00554C14"/>
    <w:rsid w:val="00554D21"/>
    <w:rsid w:val="00554E19"/>
    <w:rsid w:val="00555386"/>
    <w:rsid w:val="00557197"/>
    <w:rsid w:val="005607C6"/>
    <w:rsid w:val="0056121F"/>
    <w:rsid w:val="00561DAC"/>
    <w:rsid w:val="00562320"/>
    <w:rsid w:val="00562529"/>
    <w:rsid w:val="005627B2"/>
    <w:rsid w:val="005630FF"/>
    <w:rsid w:val="005633E8"/>
    <w:rsid w:val="00563DB8"/>
    <w:rsid w:val="00563EEE"/>
    <w:rsid w:val="00565399"/>
    <w:rsid w:val="00565404"/>
    <w:rsid w:val="00567295"/>
    <w:rsid w:val="005704AC"/>
    <w:rsid w:val="00571C73"/>
    <w:rsid w:val="00572505"/>
    <w:rsid w:val="00572FA4"/>
    <w:rsid w:val="00573920"/>
    <w:rsid w:val="00573C3B"/>
    <w:rsid w:val="00573CFD"/>
    <w:rsid w:val="00573D3D"/>
    <w:rsid w:val="00574527"/>
    <w:rsid w:val="0057453B"/>
    <w:rsid w:val="00574D6F"/>
    <w:rsid w:val="00575264"/>
    <w:rsid w:val="0057587A"/>
    <w:rsid w:val="00575901"/>
    <w:rsid w:val="00575A3E"/>
    <w:rsid w:val="00575D33"/>
    <w:rsid w:val="00575DA6"/>
    <w:rsid w:val="00575E9A"/>
    <w:rsid w:val="0057640E"/>
    <w:rsid w:val="00576FB0"/>
    <w:rsid w:val="00577E3A"/>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69B0"/>
    <w:rsid w:val="0058798C"/>
    <w:rsid w:val="00587C89"/>
    <w:rsid w:val="005900FA"/>
    <w:rsid w:val="005904F0"/>
    <w:rsid w:val="00591418"/>
    <w:rsid w:val="005915B3"/>
    <w:rsid w:val="00592A06"/>
    <w:rsid w:val="00592B54"/>
    <w:rsid w:val="005935A4"/>
    <w:rsid w:val="00593809"/>
    <w:rsid w:val="00593D1B"/>
    <w:rsid w:val="00593D4D"/>
    <w:rsid w:val="0059400F"/>
    <w:rsid w:val="005942A7"/>
    <w:rsid w:val="005945DB"/>
    <w:rsid w:val="005948C2"/>
    <w:rsid w:val="005953D5"/>
    <w:rsid w:val="005955F3"/>
    <w:rsid w:val="005959EC"/>
    <w:rsid w:val="00595DCA"/>
    <w:rsid w:val="00596CB3"/>
    <w:rsid w:val="005975B3"/>
    <w:rsid w:val="0059779B"/>
    <w:rsid w:val="00597A9F"/>
    <w:rsid w:val="005A062E"/>
    <w:rsid w:val="005A0B8C"/>
    <w:rsid w:val="005A18EC"/>
    <w:rsid w:val="005A209A"/>
    <w:rsid w:val="005A28ED"/>
    <w:rsid w:val="005A29A0"/>
    <w:rsid w:val="005A2A5C"/>
    <w:rsid w:val="005A501D"/>
    <w:rsid w:val="005A5DD4"/>
    <w:rsid w:val="005A60A3"/>
    <w:rsid w:val="005A62E7"/>
    <w:rsid w:val="005A662D"/>
    <w:rsid w:val="005A67B4"/>
    <w:rsid w:val="005A7736"/>
    <w:rsid w:val="005B10B9"/>
    <w:rsid w:val="005B180C"/>
    <w:rsid w:val="005B1993"/>
    <w:rsid w:val="005B20AF"/>
    <w:rsid w:val="005B241D"/>
    <w:rsid w:val="005B2A20"/>
    <w:rsid w:val="005B35D7"/>
    <w:rsid w:val="005B392A"/>
    <w:rsid w:val="005B3AA3"/>
    <w:rsid w:val="005B4BD9"/>
    <w:rsid w:val="005B4D3D"/>
    <w:rsid w:val="005B632C"/>
    <w:rsid w:val="005B6549"/>
    <w:rsid w:val="005B6DAD"/>
    <w:rsid w:val="005B6F83"/>
    <w:rsid w:val="005B71AE"/>
    <w:rsid w:val="005B73FF"/>
    <w:rsid w:val="005B7923"/>
    <w:rsid w:val="005C03D2"/>
    <w:rsid w:val="005C117E"/>
    <w:rsid w:val="005C1AFC"/>
    <w:rsid w:val="005C26BD"/>
    <w:rsid w:val="005C2ECC"/>
    <w:rsid w:val="005C39B0"/>
    <w:rsid w:val="005C3A4D"/>
    <w:rsid w:val="005C5459"/>
    <w:rsid w:val="005C6403"/>
    <w:rsid w:val="005C74FB"/>
    <w:rsid w:val="005C7584"/>
    <w:rsid w:val="005C75F9"/>
    <w:rsid w:val="005C7D9B"/>
    <w:rsid w:val="005D1165"/>
    <w:rsid w:val="005D1602"/>
    <w:rsid w:val="005D1746"/>
    <w:rsid w:val="005D321A"/>
    <w:rsid w:val="005D3514"/>
    <w:rsid w:val="005D42E7"/>
    <w:rsid w:val="005D5882"/>
    <w:rsid w:val="005D59FF"/>
    <w:rsid w:val="005D7169"/>
    <w:rsid w:val="005D79C7"/>
    <w:rsid w:val="005E0283"/>
    <w:rsid w:val="005E0815"/>
    <w:rsid w:val="005E0C95"/>
    <w:rsid w:val="005E0D87"/>
    <w:rsid w:val="005E1404"/>
    <w:rsid w:val="005E1F97"/>
    <w:rsid w:val="005E2FE0"/>
    <w:rsid w:val="005E341E"/>
    <w:rsid w:val="005E35ED"/>
    <w:rsid w:val="005E385F"/>
    <w:rsid w:val="005E4B93"/>
    <w:rsid w:val="005E4C5F"/>
    <w:rsid w:val="005E5A0F"/>
    <w:rsid w:val="005E5B81"/>
    <w:rsid w:val="005E65EC"/>
    <w:rsid w:val="005E6E38"/>
    <w:rsid w:val="005E7B07"/>
    <w:rsid w:val="005E7F57"/>
    <w:rsid w:val="005F0182"/>
    <w:rsid w:val="005F1EF4"/>
    <w:rsid w:val="005F280F"/>
    <w:rsid w:val="005F299E"/>
    <w:rsid w:val="005F2CB1"/>
    <w:rsid w:val="005F3025"/>
    <w:rsid w:val="005F3F57"/>
    <w:rsid w:val="005F48EC"/>
    <w:rsid w:val="005F618C"/>
    <w:rsid w:val="005F6CA6"/>
    <w:rsid w:val="005F6CFF"/>
    <w:rsid w:val="005F7096"/>
    <w:rsid w:val="005F70BD"/>
    <w:rsid w:val="0060040B"/>
    <w:rsid w:val="00600AEA"/>
    <w:rsid w:val="006017F6"/>
    <w:rsid w:val="0060205F"/>
    <w:rsid w:val="0060283C"/>
    <w:rsid w:val="006047FE"/>
    <w:rsid w:val="00604B61"/>
    <w:rsid w:val="00604CA9"/>
    <w:rsid w:val="00604F14"/>
    <w:rsid w:val="0060518E"/>
    <w:rsid w:val="00605705"/>
    <w:rsid w:val="006065EF"/>
    <w:rsid w:val="006069F5"/>
    <w:rsid w:val="00607B3F"/>
    <w:rsid w:val="00610252"/>
    <w:rsid w:val="0061060D"/>
    <w:rsid w:val="00610CE3"/>
    <w:rsid w:val="00611B83"/>
    <w:rsid w:val="006123CC"/>
    <w:rsid w:val="00612729"/>
    <w:rsid w:val="00612CC5"/>
    <w:rsid w:val="00613257"/>
    <w:rsid w:val="00614936"/>
    <w:rsid w:val="00614EBF"/>
    <w:rsid w:val="0061569D"/>
    <w:rsid w:val="00615D33"/>
    <w:rsid w:val="00615DD1"/>
    <w:rsid w:val="006172DD"/>
    <w:rsid w:val="0061774D"/>
    <w:rsid w:val="00617D79"/>
    <w:rsid w:val="00617F7E"/>
    <w:rsid w:val="006201A1"/>
    <w:rsid w:val="00620A53"/>
    <w:rsid w:val="00620A71"/>
    <w:rsid w:val="00620D80"/>
    <w:rsid w:val="006215E9"/>
    <w:rsid w:val="00621663"/>
    <w:rsid w:val="00621C19"/>
    <w:rsid w:val="006223D1"/>
    <w:rsid w:val="00622A45"/>
    <w:rsid w:val="006234A6"/>
    <w:rsid w:val="00623BE6"/>
    <w:rsid w:val="00624A4C"/>
    <w:rsid w:val="00625742"/>
    <w:rsid w:val="006265D0"/>
    <w:rsid w:val="006274AC"/>
    <w:rsid w:val="00627514"/>
    <w:rsid w:val="006278D1"/>
    <w:rsid w:val="00627BB4"/>
    <w:rsid w:val="00630001"/>
    <w:rsid w:val="006310BE"/>
    <w:rsid w:val="006311B3"/>
    <w:rsid w:val="00631541"/>
    <w:rsid w:val="00631EF2"/>
    <w:rsid w:val="0063284C"/>
    <w:rsid w:val="00632F64"/>
    <w:rsid w:val="006333A0"/>
    <w:rsid w:val="0063366D"/>
    <w:rsid w:val="00633C07"/>
    <w:rsid w:val="00633C74"/>
    <w:rsid w:val="00635C00"/>
    <w:rsid w:val="00635F3B"/>
    <w:rsid w:val="006362F9"/>
    <w:rsid w:val="00636398"/>
    <w:rsid w:val="006368D3"/>
    <w:rsid w:val="00636A88"/>
    <w:rsid w:val="00636B25"/>
    <w:rsid w:val="006377EC"/>
    <w:rsid w:val="00637953"/>
    <w:rsid w:val="00640F3B"/>
    <w:rsid w:val="0064151F"/>
    <w:rsid w:val="00641533"/>
    <w:rsid w:val="0064184C"/>
    <w:rsid w:val="0064208D"/>
    <w:rsid w:val="00642194"/>
    <w:rsid w:val="00642BBD"/>
    <w:rsid w:val="006430A2"/>
    <w:rsid w:val="00643475"/>
    <w:rsid w:val="0064396A"/>
    <w:rsid w:val="00645AF1"/>
    <w:rsid w:val="0064624E"/>
    <w:rsid w:val="0064649F"/>
    <w:rsid w:val="0064679A"/>
    <w:rsid w:val="00650556"/>
    <w:rsid w:val="00650AB9"/>
    <w:rsid w:val="00651053"/>
    <w:rsid w:val="00654EB4"/>
    <w:rsid w:val="00655733"/>
    <w:rsid w:val="00655AAC"/>
    <w:rsid w:val="00655ACD"/>
    <w:rsid w:val="0065611F"/>
    <w:rsid w:val="00656A92"/>
    <w:rsid w:val="00656DDE"/>
    <w:rsid w:val="00656E3C"/>
    <w:rsid w:val="006576CA"/>
    <w:rsid w:val="0066011D"/>
    <w:rsid w:val="006602A9"/>
    <w:rsid w:val="006607C0"/>
    <w:rsid w:val="00660A16"/>
    <w:rsid w:val="006613A6"/>
    <w:rsid w:val="006616E5"/>
    <w:rsid w:val="00662051"/>
    <w:rsid w:val="00662760"/>
    <w:rsid w:val="006627A2"/>
    <w:rsid w:val="006634E6"/>
    <w:rsid w:val="0066393A"/>
    <w:rsid w:val="00663A78"/>
    <w:rsid w:val="006647DC"/>
    <w:rsid w:val="0066528D"/>
    <w:rsid w:val="006655EE"/>
    <w:rsid w:val="00665D97"/>
    <w:rsid w:val="00665FFC"/>
    <w:rsid w:val="006663C0"/>
    <w:rsid w:val="0066661C"/>
    <w:rsid w:val="00666B33"/>
    <w:rsid w:val="00666D19"/>
    <w:rsid w:val="006674AE"/>
    <w:rsid w:val="006678A3"/>
    <w:rsid w:val="00667957"/>
    <w:rsid w:val="00667EE7"/>
    <w:rsid w:val="00670922"/>
    <w:rsid w:val="00670BE1"/>
    <w:rsid w:val="00671339"/>
    <w:rsid w:val="00671B77"/>
    <w:rsid w:val="0067218F"/>
    <w:rsid w:val="00672D95"/>
    <w:rsid w:val="006741F2"/>
    <w:rsid w:val="00674CC3"/>
    <w:rsid w:val="00675C72"/>
    <w:rsid w:val="00675D5C"/>
    <w:rsid w:val="006771F9"/>
    <w:rsid w:val="006776D7"/>
    <w:rsid w:val="006778AC"/>
    <w:rsid w:val="00680FE2"/>
    <w:rsid w:val="00681003"/>
    <w:rsid w:val="006813DA"/>
    <w:rsid w:val="006817C9"/>
    <w:rsid w:val="00681F05"/>
    <w:rsid w:val="00683424"/>
    <w:rsid w:val="006834D6"/>
    <w:rsid w:val="00683ECE"/>
    <w:rsid w:val="00684F0C"/>
    <w:rsid w:val="00685892"/>
    <w:rsid w:val="00686B2C"/>
    <w:rsid w:val="00687116"/>
    <w:rsid w:val="00687BA5"/>
    <w:rsid w:val="006904B2"/>
    <w:rsid w:val="006905A9"/>
    <w:rsid w:val="0069067C"/>
    <w:rsid w:val="00691274"/>
    <w:rsid w:val="0069156D"/>
    <w:rsid w:val="0069160A"/>
    <w:rsid w:val="00692F99"/>
    <w:rsid w:val="00693DB1"/>
    <w:rsid w:val="006950AE"/>
    <w:rsid w:val="00695126"/>
    <w:rsid w:val="006951A6"/>
    <w:rsid w:val="00695FC2"/>
    <w:rsid w:val="00696949"/>
    <w:rsid w:val="00696DED"/>
    <w:rsid w:val="00696F1D"/>
    <w:rsid w:val="00697052"/>
    <w:rsid w:val="00697DEE"/>
    <w:rsid w:val="006A14EF"/>
    <w:rsid w:val="006A16A9"/>
    <w:rsid w:val="006A2028"/>
    <w:rsid w:val="006A20D7"/>
    <w:rsid w:val="006A2465"/>
    <w:rsid w:val="006A3825"/>
    <w:rsid w:val="006A46FB"/>
    <w:rsid w:val="006A4DA7"/>
    <w:rsid w:val="006A5873"/>
    <w:rsid w:val="006A59D8"/>
    <w:rsid w:val="006A5E28"/>
    <w:rsid w:val="006A6585"/>
    <w:rsid w:val="006A66D2"/>
    <w:rsid w:val="006A697B"/>
    <w:rsid w:val="006A6A00"/>
    <w:rsid w:val="006A6D27"/>
    <w:rsid w:val="006A79B7"/>
    <w:rsid w:val="006A7AB8"/>
    <w:rsid w:val="006A7AFF"/>
    <w:rsid w:val="006A7CE6"/>
    <w:rsid w:val="006B014F"/>
    <w:rsid w:val="006B12E2"/>
    <w:rsid w:val="006B1816"/>
    <w:rsid w:val="006B1E2A"/>
    <w:rsid w:val="006B2025"/>
    <w:rsid w:val="006B2099"/>
    <w:rsid w:val="006B2DC1"/>
    <w:rsid w:val="006B2F21"/>
    <w:rsid w:val="006B305D"/>
    <w:rsid w:val="006B30FB"/>
    <w:rsid w:val="006B3B5C"/>
    <w:rsid w:val="006B40B9"/>
    <w:rsid w:val="006B4632"/>
    <w:rsid w:val="006B50CF"/>
    <w:rsid w:val="006B5317"/>
    <w:rsid w:val="006B6E3D"/>
    <w:rsid w:val="006B717E"/>
    <w:rsid w:val="006B7B17"/>
    <w:rsid w:val="006B7C04"/>
    <w:rsid w:val="006C03B8"/>
    <w:rsid w:val="006C0F0E"/>
    <w:rsid w:val="006C1AE8"/>
    <w:rsid w:val="006C232F"/>
    <w:rsid w:val="006C26EE"/>
    <w:rsid w:val="006C2B9A"/>
    <w:rsid w:val="006C2C11"/>
    <w:rsid w:val="006C2FE9"/>
    <w:rsid w:val="006C3882"/>
    <w:rsid w:val="006C4EF3"/>
    <w:rsid w:val="006C5EC9"/>
    <w:rsid w:val="006C6059"/>
    <w:rsid w:val="006C6DC1"/>
    <w:rsid w:val="006C6FA3"/>
    <w:rsid w:val="006C7522"/>
    <w:rsid w:val="006D0117"/>
    <w:rsid w:val="006D0376"/>
    <w:rsid w:val="006D07BD"/>
    <w:rsid w:val="006D1C4C"/>
    <w:rsid w:val="006D1F3C"/>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68C"/>
    <w:rsid w:val="006E27EB"/>
    <w:rsid w:val="006E28B7"/>
    <w:rsid w:val="006E28C1"/>
    <w:rsid w:val="006E2943"/>
    <w:rsid w:val="006E2DA0"/>
    <w:rsid w:val="006E3310"/>
    <w:rsid w:val="006E354A"/>
    <w:rsid w:val="006E4639"/>
    <w:rsid w:val="006E4E39"/>
    <w:rsid w:val="006E565E"/>
    <w:rsid w:val="006E5706"/>
    <w:rsid w:val="006E5A43"/>
    <w:rsid w:val="006E5C6A"/>
    <w:rsid w:val="006E673D"/>
    <w:rsid w:val="006E6B49"/>
    <w:rsid w:val="006E6F50"/>
    <w:rsid w:val="006E7549"/>
    <w:rsid w:val="006E76A3"/>
    <w:rsid w:val="006E7D3B"/>
    <w:rsid w:val="006F0C95"/>
    <w:rsid w:val="006F19BB"/>
    <w:rsid w:val="006F1B70"/>
    <w:rsid w:val="006F1E26"/>
    <w:rsid w:val="006F2499"/>
    <w:rsid w:val="006F2629"/>
    <w:rsid w:val="006F2D41"/>
    <w:rsid w:val="006F2F6B"/>
    <w:rsid w:val="006F341D"/>
    <w:rsid w:val="006F36DE"/>
    <w:rsid w:val="006F3CDE"/>
    <w:rsid w:val="006F4107"/>
    <w:rsid w:val="006F58D4"/>
    <w:rsid w:val="006F5FC0"/>
    <w:rsid w:val="006F651E"/>
    <w:rsid w:val="006F7B2C"/>
    <w:rsid w:val="0070162B"/>
    <w:rsid w:val="00701DCE"/>
    <w:rsid w:val="0070255B"/>
    <w:rsid w:val="0070346E"/>
    <w:rsid w:val="00703692"/>
    <w:rsid w:val="00703F40"/>
    <w:rsid w:val="00704EDB"/>
    <w:rsid w:val="00705702"/>
    <w:rsid w:val="00705832"/>
    <w:rsid w:val="00705CCB"/>
    <w:rsid w:val="00706101"/>
    <w:rsid w:val="00707072"/>
    <w:rsid w:val="00707313"/>
    <w:rsid w:val="007075E3"/>
    <w:rsid w:val="00707D61"/>
    <w:rsid w:val="007106BB"/>
    <w:rsid w:val="007106E8"/>
    <w:rsid w:val="00710781"/>
    <w:rsid w:val="007117A0"/>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126D"/>
    <w:rsid w:val="007226C6"/>
    <w:rsid w:val="007227B2"/>
    <w:rsid w:val="0072442E"/>
    <w:rsid w:val="00724495"/>
    <w:rsid w:val="00724CFB"/>
    <w:rsid w:val="007265F0"/>
    <w:rsid w:val="0072663A"/>
    <w:rsid w:val="00726EA6"/>
    <w:rsid w:val="00727106"/>
    <w:rsid w:val="007271A6"/>
    <w:rsid w:val="00727208"/>
    <w:rsid w:val="00727680"/>
    <w:rsid w:val="00731E3E"/>
    <w:rsid w:val="007320B8"/>
    <w:rsid w:val="007329F2"/>
    <w:rsid w:val="00733C4C"/>
    <w:rsid w:val="007341A3"/>
    <w:rsid w:val="00734282"/>
    <w:rsid w:val="007348B1"/>
    <w:rsid w:val="00734AAF"/>
    <w:rsid w:val="00734CB5"/>
    <w:rsid w:val="00735621"/>
    <w:rsid w:val="007362A6"/>
    <w:rsid w:val="00736D7D"/>
    <w:rsid w:val="00736E57"/>
    <w:rsid w:val="00736FE0"/>
    <w:rsid w:val="00737FB0"/>
    <w:rsid w:val="007406C4"/>
    <w:rsid w:val="00740E58"/>
    <w:rsid w:val="0074138A"/>
    <w:rsid w:val="00741946"/>
    <w:rsid w:val="00741C84"/>
    <w:rsid w:val="00742081"/>
    <w:rsid w:val="00742802"/>
    <w:rsid w:val="0074315E"/>
    <w:rsid w:val="007438C8"/>
    <w:rsid w:val="00743CD4"/>
    <w:rsid w:val="00743FB7"/>
    <w:rsid w:val="00744326"/>
    <w:rsid w:val="0074459E"/>
    <w:rsid w:val="007445A0"/>
    <w:rsid w:val="0074524B"/>
    <w:rsid w:val="00745912"/>
    <w:rsid w:val="00745D66"/>
    <w:rsid w:val="00745F12"/>
    <w:rsid w:val="007463C6"/>
    <w:rsid w:val="00747D8B"/>
    <w:rsid w:val="0075042E"/>
    <w:rsid w:val="007511F8"/>
    <w:rsid w:val="00751228"/>
    <w:rsid w:val="00751497"/>
    <w:rsid w:val="007521C1"/>
    <w:rsid w:val="0075233F"/>
    <w:rsid w:val="00752CD4"/>
    <w:rsid w:val="00752FB3"/>
    <w:rsid w:val="0075331F"/>
    <w:rsid w:val="00753486"/>
    <w:rsid w:val="00754114"/>
    <w:rsid w:val="007543BC"/>
    <w:rsid w:val="007550B2"/>
    <w:rsid w:val="00756779"/>
    <w:rsid w:val="00756EE8"/>
    <w:rsid w:val="007571E1"/>
    <w:rsid w:val="007573DE"/>
    <w:rsid w:val="00757707"/>
    <w:rsid w:val="007604B2"/>
    <w:rsid w:val="007604D0"/>
    <w:rsid w:val="00760B4A"/>
    <w:rsid w:val="0076150A"/>
    <w:rsid w:val="00761B49"/>
    <w:rsid w:val="007622DB"/>
    <w:rsid w:val="0076299E"/>
    <w:rsid w:val="00762C02"/>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5DF8"/>
    <w:rsid w:val="007764C2"/>
    <w:rsid w:val="00776705"/>
    <w:rsid w:val="00776971"/>
    <w:rsid w:val="00776AA2"/>
    <w:rsid w:val="00776EE9"/>
    <w:rsid w:val="00777255"/>
    <w:rsid w:val="007775CC"/>
    <w:rsid w:val="00777D37"/>
    <w:rsid w:val="00777F7A"/>
    <w:rsid w:val="00780489"/>
    <w:rsid w:val="0078111D"/>
    <w:rsid w:val="0078177E"/>
    <w:rsid w:val="00782646"/>
    <w:rsid w:val="00783001"/>
    <w:rsid w:val="0078304C"/>
    <w:rsid w:val="0078354C"/>
    <w:rsid w:val="00783673"/>
    <w:rsid w:val="0078405B"/>
    <w:rsid w:val="00784312"/>
    <w:rsid w:val="00785490"/>
    <w:rsid w:val="00786620"/>
    <w:rsid w:val="00786A31"/>
    <w:rsid w:val="007871D7"/>
    <w:rsid w:val="0079009A"/>
    <w:rsid w:val="00790601"/>
    <w:rsid w:val="007909FB"/>
    <w:rsid w:val="00790B99"/>
    <w:rsid w:val="00790CD0"/>
    <w:rsid w:val="0079178C"/>
    <w:rsid w:val="00791BBB"/>
    <w:rsid w:val="007925EA"/>
    <w:rsid w:val="00792764"/>
    <w:rsid w:val="00792A8D"/>
    <w:rsid w:val="00792A8F"/>
    <w:rsid w:val="00793810"/>
    <w:rsid w:val="00793977"/>
    <w:rsid w:val="00793CD8"/>
    <w:rsid w:val="0079428B"/>
    <w:rsid w:val="00795679"/>
    <w:rsid w:val="00795C92"/>
    <w:rsid w:val="007960A1"/>
    <w:rsid w:val="00796231"/>
    <w:rsid w:val="00796317"/>
    <w:rsid w:val="00796573"/>
    <w:rsid w:val="00796ADC"/>
    <w:rsid w:val="00796B93"/>
    <w:rsid w:val="00796CA9"/>
    <w:rsid w:val="007A1CB3"/>
    <w:rsid w:val="007A306F"/>
    <w:rsid w:val="007A321A"/>
    <w:rsid w:val="007A3CE3"/>
    <w:rsid w:val="007A4100"/>
    <w:rsid w:val="007A43A6"/>
    <w:rsid w:val="007A4693"/>
    <w:rsid w:val="007A58A6"/>
    <w:rsid w:val="007A5B38"/>
    <w:rsid w:val="007A6180"/>
    <w:rsid w:val="007A6A52"/>
    <w:rsid w:val="007A79B2"/>
    <w:rsid w:val="007B1A8E"/>
    <w:rsid w:val="007B3014"/>
    <w:rsid w:val="007B33DA"/>
    <w:rsid w:val="007B3964"/>
    <w:rsid w:val="007B3D2D"/>
    <w:rsid w:val="007B42E6"/>
    <w:rsid w:val="007B4E64"/>
    <w:rsid w:val="007B50AE"/>
    <w:rsid w:val="007B518D"/>
    <w:rsid w:val="007B51DF"/>
    <w:rsid w:val="007B5D77"/>
    <w:rsid w:val="007B65CE"/>
    <w:rsid w:val="007B6D86"/>
    <w:rsid w:val="007B7374"/>
    <w:rsid w:val="007B774B"/>
    <w:rsid w:val="007B7D25"/>
    <w:rsid w:val="007B7EC6"/>
    <w:rsid w:val="007C031E"/>
    <w:rsid w:val="007C05DD"/>
    <w:rsid w:val="007C0D39"/>
    <w:rsid w:val="007C11D9"/>
    <w:rsid w:val="007C310D"/>
    <w:rsid w:val="007C387F"/>
    <w:rsid w:val="007C397F"/>
    <w:rsid w:val="007C3AB9"/>
    <w:rsid w:val="007C3D18"/>
    <w:rsid w:val="007C4317"/>
    <w:rsid w:val="007C47AB"/>
    <w:rsid w:val="007C54AD"/>
    <w:rsid w:val="007C5E89"/>
    <w:rsid w:val="007C60BF"/>
    <w:rsid w:val="007C6A07"/>
    <w:rsid w:val="007C75A1"/>
    <w:rsid w:val="007C771D"/>
    <w:rsid w:val="007C77A5"/>
    <w:rsid w:val="007D04E5"/>
    <w:rsid w:val="007D09D8"/>
    <w:rsid w:val="007D3240"/>
    <w:rsid w:val="007D3E7E"/>
    <w:rsid w:val="007D3F0E"/>
    <w:rsid w:val="007D53AD"/>
    <w:rsid w:val="007D5901"/>
    <w:rsid w:val="007D5983"/>
    <w:rsid w:val="007D6813"/>
    <w:rsid w:val="007D6B14"/>
    <w:rsid w:val="007D6B5B"/>
    <w:rsid w:val="007D7163"/>
    <w:rsid w:val="007D7526"/>
    <w:rsid w:val="007D7BC4"/>
    <w:rsid w:val="007D7F1E"/>
    <w:rsid w:val="007E0323"/>
    <w:rsid w:val="007E0479"/>
    <w:rsid w:val="007E06B8"/>
    <w:rsid w:val="007E09A3"/>
    <w:rsid w:val="007E11E0"/>
    <w:rsid w:val="007E196F"/>
    <w:rsid w:val="007E320C"/>
    <w:rsid w:val="007E4610"/>
    <w:rsid w:val="007E4715"/>
    <w:rsid w:val="007E47D9"/>
    <w:rsid w:val="007E4B43"/>
    <w:rsid w:val="007E505B"/>
    <w:rsid w:val="007E567A"/>
    <w:rsid w:val="007E5C39"/>
    <w:rsid w:val="007E69CF"/>
    <w:rsid w:val="007E6BD7"/>
    <w:rsid w:val="007E6C01"/>
    <w:rsid w:val="007E6F7D"/>
    <w:rsid w:val="007E7091"/>
    <w:rsid w:val="007E7E02"/>
    <w:rsid w:val="007F00BD"/>
    <w:rsid w:val="007F0677"/>
    <w:rsid w:val="007F072E"/>
    <w:rsid w:val="007F13C4"/>
    <w:rsid w:val="007F2854"/>
    <w:rsid w:val="007F285D"/>
    <w:rsid w:val="007F3E43"/>
    <w:rsid w:val="007F4D97"/>
    <w:rsid w:val="007F54BC"/>
    <w:rsid w:val="007F6A23"/>
    <w:rsid w:val="007F75D5"/>
    <w:rsid w:val="00800863"/>
    <w:rsid w:val="00801ABE"/>
    <w:rsid w:val="00801B95"/>
    <w:rsid w:val="00801F6F"/>
    <w:rsid w:val="00802632"/>
    <w:rsid w:val="00803122"/>
    <w:rsid w:val="008035D0"/>
    <w:rsid w:val="008035F7"/>
    <w:rsid w:val="00803A3C"/>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47"/>
    <w:rsid w:val="00812372"/>
    <w:rsid w:val="00812969"/>
    <w:rsid w:val="00813ECF"/>
    <w:rsid w:val="00814DF6"/>
    <w:rsid w:val="00815879"/>
    <w:rsid w:val="008158D6"/>
    <w:rsid w:val="0081655B"/>
    <w:rsid w:val="00816A98"/>
    <w:rsid w:val="00817196"/>
    <w:rsid w:val="00817D6E"/>
    <w:rsid w:val="008209FB"/>
    <w:rsid w:val="00821491"/>
    <w:rsid w:val="00821DE2"/>
    <w:rsid w:val="008226E3"/>
    <w:rsid w:val="00822C78"/>
    <w:rsid w:val="0082344D"/>
    <w:rsid w:val="008234DE"/>
    <w:rsid w:val="008235DB"/>
    <w:rsid w:val="00823CAD"/>
    <w:rsid w:val="00823D3A"/>
    <w:rsid w:val="00824AB4"/>
    <w:rsid w:val="00824B3E"/>
    <w:rsid w:val="008256C9"/>
    <w:rsid w:val="00825C42"/>
    <w:rsid w:val="00825D25"/>
    <w:rsid w:val="00827D6F"/>
    <w:rsid w:val="00830090"/>
    <w:rsid w:val="00830EF3"/>
    <w:rsid w:val="00831570"/>
    <w:rsid w:val="008321B2"/>
    <w:rsid w:val="00834689"/>
    <w:rsid w:val="0083513F"/>
    <w:rsid w:val="00835144"/>
    <w:rsid w:val="00835401"/>
    <w:rsid w:val="00835CB1"/>
    <w:rsid w:val="0083611C"/>
    <w:rsid w:val="008365BB"/>
    <w:rsid w:val="008370EA"/>
    <w:rsid w:val="008376AC"/>
    <w:rsid w:val="008403CE"/>
    <w:rsid w:val="0084163D"/>
    <w:rsid w:val="00841803"/>
    <w:rsid w:val="0084233B"/>
    <w:rsid w:val="00842B72"/>
    <w:rsid w:val="00842EA5"/>
    <w:rsid w:val="008431F0"/>
    <w:rsid w:val="008432B0"/>
    <w:rsid w:val="00843BE1"/>
    <w:rsid w:val="00843E16"/>
    <w:rsid w:val="0084427E"/>
    <w:rsid w:val="008444E8"/>
    <w:rsid w:val="00844E80"/>
    <w:rsid w:val="00846FE7"/>
    <w:rsid w:val="00847472"/>
    <w:rsid w:val="00847AD7"/>
    <w:rsid w:val="00850702"/>
    <w:rsid w:val="00850D54"/>
    <w:rsid w:val="008516B4"/>
    <w:rsid w:val="00852BBD"/>
    <w:rsid w:val="008535E7"/>
    <w:rsid w:val="00854E76"/>
    <w:rsid w:val="00855B2F"/>
    <w:rsid w:val="00855DEA"/>
    <w:rsid w:val="00856911"/>
    <w:rsid w:val="00856AAA"/>
    <w:rsid w:val="00856E89"/>
    <w:rsid w:val="00857460"/>
    <w:rsid w:val="00860F05"/>
    <w:rsid w:val="00862B39"/>
    <w:rsid w:val="0086394F"/>
    <w:rsid w:val="008641C6"/>
    <w:rsid w:val="00865E18"/>
    <w:rsid w:val="00866BC0"/>
    <w:rsid w:val="008677FD"/>
    <w:rsid w:val="00867A5A"/>
    <w:rsid w:val="008706D4"/>
    <w:rsid w:val="00870833"/>
    <w:rsid w:val="00870918"/>
    <w:rsid w:val="00870B5D"/>
    <w:rsid w:val="00870DCD"/>
    <w:rsid w:val="00870DE1"/>
    <w:rsid w:val="00870F8A"/>
    <w:rsid w:val="008719A4"/>
    <w:rsid w:val="00871D23"/>
    <w:rsid w:val="00873CEF"/>
    <w:rsid w:val="00874312"/>
    <w:rsid w:val="0087437C"/>
    <w:rsid w:val="008745F7"/>
    <w:rsid w:val="0087501D"/>
    <w:rsid w:val="00875394"/>
    <w:rsid w:val="008758A4"/>
    <w:rsid w:val="00875B84"/>
    <w:rsid w:val="00875CD7"/>
    <w:rsid w:val="0087641E"/>
    <w:rsid w:val="008769BE"/>
    <w:rsid w:val="00876B4D"/>
    <w:rsid w:val="00876F50"/>
    <w:rsid w:val="0087733C"/>
    <w:rsid w:val="00877F18"/>
    <w:rsid w:val="00877F78"/>
    <w:rsid w:val="00881905"/>
    <w:rsid w:val="00881AA5"/>
    <w:rsid w:val="00881F11"/>
    <w:rsid w:val="00882A35"/>
    <w:rsid w:val="008859E6"/>
    <w:rsid w:val="00886491"/>
    <w:rsid w:val="0088649C"/>
    <w:rsid w:val="00886C30"/>
    <w:rsid w:val="008874AD"/>
    <w:rsid w:val="008917B3"/>
    <w:rsid w:val="00891D41"/>
    <w:rsid w:val="00891F4D"/>
    <w:rsid w:val="00892536"/>
    <w:rsid w:val="00893DFA"/>
    <w:rsid w:val="0089445F"/>
    <w:rsid w:val="00894A88"/>
    <w:rsid w:val="00894B5A"/>
    <w:rsid w:val="00895386"/>
    <w:rsid w:val="00895E39"/>
    <w:rsid w:val="00896287"/>
    <w:rsid w:val="008970BE"/>
    <w:rsid w:val="00897841"/>
    <w:rsid w:val="008A0A1C"/>
    <w:rsid w:val="008A1688"/>
    <w:rsid w:val="008A16E5"/>
    <w:rsid w:val="008A1D9D"/>
    <w:rsid w:val="008A21FF"/>
    <w:rsid w:val="008A29AB"/>
    <w:rsid w:val="008A2CE2"/>
    <w:rsid w:val="008A30AC"/>
    <w:rsid w:val="008A44B8"/>
    <w:rsid w:val="008A51A8"/>
    <w:rsid w:val="008A54C7"/>
    <w:rsid w:val="008A5DF5"/>
    <w:rsid w:val="008A609B"/>
    <w:rsid w:val="008A7077"/>
    <w:rsid w:val="008A76F3"/>
    <w:rsid w:val="008A77D8"/>
    <w:rsid w:val="008B0483"/>
    <w:rsid w:val="008B120C"/>
    <w:rsid w:val="008B22B7"/>
    <w:rsid w:val="008B3400"/>
    <w:rsid w:val="008B34DF"/>
    <w:rsid w:val="008B3A9F"/>
    <w:rsid w:val="008B40CF"/>
    <w:rsid w:val="008B4AE9"/>
    <w:rsid w:val="008B51A0"/>
    <w:rsid w:val="008B5268"/>
    <w:rsid w:val="008B592A"/>
    <w:rsid w:val="008B770C"/>
    <w:rsid w:val="008B77E8"/>
    <w:rsid w:val="008B7B5C"/>
    <w:rsid w:val="008B7D7E"/>
    <w:rsid w:val="008C087A"/>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C7750"/>
    <w:rsid w:val="008D02C8"/>
    <w:rsid w:val="008D0A2F"/>
    <w:rsid w:val="008D0E6C"/>
    <w:rsid w:val="008D10E2"/>
    <w:rsid w:val="008D2BA4"/>
    <w:rsid w:val="008D34F1"/>
    <w:rsid w:val="008D39D8"/>
    <w:rsid w:val="008D412E"/>
    <w:rsid w:val="008D4254"/>
    <w:rsid w:val="008D5015"/>
    <w:rsid w:val="008D543D"/>
    <w:rsid w:val="008D5DD5"/>
    <w:rsid w:val="008D6A80"/>
    <w:rsid w:val="008D6B51"/>
    <w:rsid w:val="008D6D1A"/>
    <w:rsid w:val="008D73EC"/>
    <w:rsid w:val="008D7CBC"/>
    <w:rsid w:val="008D7CC0"/>
    <w:rsid w:val="008E0332"/>
    <w:rsid w:val="008E065E"/>
    <w:rsid w:val="008E0927"/>
    <w:rsid w:val="008E09D0"/>
    <w:rsid w:val="008E0CF8"/>
    <w:rsid w:val="008E17FA"/>
    <w:rsid w:val="008E1909"/>
    <w:rsid w:val="008E1AA3"/>
    <w:rsid w:val="008E2A3E"/>
    <w:rsid w:val="008E38BC"/>
    <w:rsid w:val="008E3C4A"/>
    <w:rsid w:val="008E3E49"/>
    <w:rsid w:val="008E65AE"/>
    <w:rsid w:val="008E6A0E"/>
    <w:rsid w:val="008E7065"/>
    <w:rsid w:val="008E72EF"/>
    <w:rsid w:val="008E7345"/>
    <w:rsid w:val="008F026D"/>
    <w:rsid w:val="008F0EA2"/>
    <w:rsid w:val="008F109F"/>
    <w:rsid w:val="008F1EAB"/>
    <w:rsid w:val="008F234C"/>
    <w:rsid w:val="008F2A64"/>
    <w:rsid w:val="008F30B4"/>
    <w:rsid w:val="008F33DC"/>
    <w:rsid w:val="008F3471"/>
    <w:rsid w:val="008F3A73"/>
    <w:rsid w:val="008F477F"/>
    <w:rsid w:val="008F50FE"/>
    <w:rsid w:val="008F58CA"/>
    <w:rsid w:val="008F68E1"/>
    <w:rsid w:val="008F733B"/>
    <w:rsid w:val="008F7E1E"/>
    <w:rsid w:val="00900100"/>
    <w:rsid w:val="009004EF"/>
    <w:rsid w:val="00900646"/>
    <w:rsid w:val="00901101"/>
    <w:rsid w:val="00901115"/>
    <w:rsid w:val="00902350"/>
    <w:rsid w:val="0090235A"/>
    <w:rsid w:val="00902831"/>
    <w:rsid w:val="0090336B"/>
    <w:rsid w:val="00903B8C"/>
    <w:rsid w:val="00904CFD"/>
    <w:rsid w:val="00904F69"/>
    <w:rsid w:val="009053AA"/>
    <w:rsid w:val="00905480"/>
    <w:rsid w:val="00905A2A"/>
    <w:rsid w:val="0090621A"/>
    <w:rsid w:val="00906939"/>
    <w:rsid w:val="00906E8B"/>
    <w:rsid w:val="00906F77"/>
    <w:rsid w:val="0091056D"/>
    <w:rsid w:val="009106D0"/>
    <w:rsid w:val="00910B7D"/>
    <w:rsid w:val="0091165B"/>
    <w:rsid w:val="00911DFB"/>
    <w:rsid w:val="009138F9"/>
    <w:rsid w:val="009139D9"/>
    <w:rsid w:val="00913D57"/>
    <w:rsid w:val="00913F0C"/>
    <w:rsid w:val="009146BA"/>
    <w:rsid w:val="009148E6"/>
    <w:rsid w:val="00914AD8"/>
    <w:rsid w:val="00915347"/>
    <w:rsid w:val="00915D87"/>
    <w:rsid w:val="00916079"/>
    <w:rsid w:val="00916118"/>
    <w:rsid w:val="0091681F"/>
    <w:rsid w:val="00917A3B"/>
    <w:rsid w:val="00917CE9"/>
    <w:rsid w:val="009208D7"/>
    <w:rsid w:val="00920BF2"/>
    <w:rsid w:val="00921B8B"/>
    <w:rsid w:val="00921CB0"/>
    <w:rsid w:val="00921CB2"/>
    <w:rsid w:val="00921F69"/>
    <w:rsid w:val="00922010"/>
    <w:rsid w:val="00922182"/>
    <w:rsid w:val="00922605"/>
    <w:rsid w:val="00922682"/>
    <w:rsid w:val="00923793"/>
    <w:rsid w:val="00923D9F"/>
    <w:rsid w:val="0092452F"/>
    <w:rsid w:val="009246C5"/>
    <w:rsid w:val="00924DC4"/>
    <w:rsid w:val="00925693"/>
    <w:rsid w:val="0092653C"/>
    <w:rsid w:val="00930CC5"/>
    <w:rsid w:val="00931BD9"/>
    <w:rsid w:val="00931E21"/>
    <w:rsid w:val="00932014"/>
    <w:rsid w:val="009320DB"/>
    <w:rsid w:val="00932407"/>
    <w:rsid w:val="00933650"/>
    <w:rsid w:val="00933CD3"/>
    <w:rsid w:val="00934730"/>
    <w:rsid w:val="009352C2"/>
    <w:rsid w:val="00935739"/>
    <w:rsid w:val="00935D8C"/>
    <w:rsid w:val="00936526"/>
    <w:rsid w:val="0093655D"/>
    <w:rsid w:val="009368F3"/>
    <w:rsid w:val="00936C4A"/>
    <w:rsid w:val="00936EEB"/>
    <w:rsid w:val="00940AFF"/>
    <w:rsid w:val="00940CCD"/>
    <w:rsid w:val="00941636"/>
    <w:rsid w:val="00942F42"/>
    <w:rsid w:val="009431A5"/>
    <w:rsid w:val="0094364B"/>
    <w:rsid w:val="00943742"/>
    <w:rsid w:val="00944093"/>
    <w:rsid w:val="00944290"/>
    <w:rsid w:val="00944562"/>
    <w:rsid w:val="009446B6"/>
    <w:rsid w:val="00945112"/>
    <w:rsid w:val="00945C05"/>
    <w:rsid w:val="00945DBB"/>
    <w:rsid w:val="00946945"/>
    <w:rsid w:val="00946984"/>
    <w:rsid w:val="00946AFF"/>
    <w:rsid w:val="00947713"/>
    <w:rsid w:val="00947990"/>
    <w:rsid w:val="009479AA"/>
    <w:rsid w:val="00947DDD"/>
    <w:rsid w:val="00950953"/>
    <w:rsid w:val="00950DE7"/>
    <w:rsid w:val="00951260"/>
    <w:rsid w:val="00952528"/>
    <w:rsid w:val="0095273A"/>
    <w:rsid w:val="00952A24"/>
    <w:rsid w:val="00953920"/>
    <w:rsid w:val="00953D47"/>
    <w:rsid w:val="00954B20"/>
    <w:rsid w:val="0095532E"/>
    <w:rsid w:val="0095546E"/>
    <w:rsid w:val="00955DDD"/>
    <w:rsid w:val="0095681E"/>
    <w:rsid w:val="009572D4"/>
    <w:rsid w:val="0096054B"/>
    <w:rsid w:val="00960FE3"/>
    <w:rsid w:val="00961091"/>
    <w:rsid w:val="009614AE"/>
    <w:rsid w:val="00961921"/>
    <w:rsid w:val="009623D7"/>
    <w:rsid w:val="0096260D"/>
    <w:rsid w:val="0096331A"/>
    <w:rsid w:val="0096430A"/>
    <w:rsid w:val="009644FF"/>
    <w:rsid w:val="009647C7"/>
    <w:rsid w:val="00964BAE"/>
    <w:rsid w:val="00964FB6"/>
    <w:rsid w:val="00964FEB"/>
    <w:rsid w:val="00965176"/>
    <w:rsid w:val="0096554B"/>
    <w:rsid w:val="009656CD"/>
    <w:rsid w:val="0096584A"/>
    <w:rsid w:val="00966833"/>
    <w:rsid w:val="00967713"/>
    <w:rsid w:val="009700F2"/>
    <w:rsid w:val="00970E18"/>
    <w:rsid w:val="00971603"/>
    <w:rsid w:val="00971F08"/>
    <w:rsid w:val="0097311C"/>
    <w:rsid w:val="00973C34"/>
    <w:rsid w:val="0097493A"/>
    <w:rsid w:val="00974DB1"/>
    <w:rsid w:val="00975420"/>
    <w:rsid w:val="0097588F"/>
    <w:rsid w:val="00975F5D"/>
    <w:rsid w:val="0097603D"/>
    <w:rsid w:val="00976406"/>
    <w:rsid w:val="00976949"/>
    <w:rsid w:val="009770F2"/>
    <w:rsid w:val="00980092"/>
    <w:rsid w:val="00980321"/>
    <w:rsid w:val="00980477"/>
    <w:rsid w:val="009815E8"/>
    <w:rsid w:val="00982379"/>
    <w:rsid w:val="00982946"/>
    <w:rsid w:val="00982BBC"/>
    <w:rsid w:val="009839A9"/>
    <w:rsid w:val="009839B1"/>
    <w:rsid w:val="00985253"/>
    <w:rsid w:val="009853B3"/>
    <w:rsid w:val="009853CE"/>
    <w:rsid w:val="00985BFD"/>
    <w:rsid w:val="00986196"/>
    <w:rsid w:val="009879B6"/>
    <w:rsid w:val="00987A9D"/>
    <w:rsid w:val="00987A9E"/>
    <w:rsid w:val="00990630"/>
    <w:rsid w:val="00990E55"/>
    <w:rsid w:val="00990F81"/>
    <w:rsid w:val="00991761"/>
    <w:rsid w:val="00991E2E"/>
    <w:rsid w:val="00992BB6"/>
    <w:rsid w:val="0099391E"/>
    <w:rsid w:val="00994740"/>
    <w:rsid w:val="00994DCA"/>
    <w:rsid w:val="009960EC"/>
    <w:rsid w:val="009970DD"/>
    <w:rsid w:val="00997C8C"/>
    <w:rsid w:val="00997CB2"/>
    <w:rsid w:val="009A0477"/>
    <w:rsid w:val="009A0A2D"/>
    <w:rsid w:val="009A0FBA"/>
    <w:rsid w:val="009A1601"/>
    <w:rsid w:val="009A18A7"/>
    <w:rsid w:val="009A1D8F"/>
    <w:rsid w:val="009A2792"/>
    <w:rsid w:val="009A3A5C"/>
    <w:rsid w:val="009A3CCD"/>
    <w:rsid w:val="009A4210"/>
    <w:rsid w:val="009A462D"/>
    <w:rsid w:val="009A4BCE"/>
    <w:rsid w:val="009A4CCF"/>
    <w:rsid w:val="009A4DDD"/>
    <w:rsid w:val="009A5CBA"/>
    <w:rsid w:val="009A7113"/>
    <w:rsid w:val="009A725A"/>
    <w:rsid w:val="009A7E55"/>
    <w:rsid w:val="009B1729"/>
    <w:rsid w:val="009B1F1D"/>
    <w:rsid w:val="009B1F30"/>
    <w:rsid w:val="009B200F"/>
    <w:rsid w:val="009B2162"/>
    <w:rsid w:val="009B2CBC"/>
    <w:rsid w:val="009B3AC2"/>
    <w:rsid w:val="009B41EE"/>
    <w:rsid w:val="009B48FF"/>
    <w:rsid w:val="009B4DF4"/>
    <w:rsid w:val="009B564E"/>
    <w:rsid w:val="009B5FF0"/>
    <w:rsid w:val="009B6325"/>
    <w:rsid w:val="009B6CA6"/>
    <w:rsid w:val="009B7342"/>
    <w:rsid w:val="009B7E87"/>
    <w:rsid w:val="009C0021"/>
    <w:rsid w:val="009C03DD"/>
    <w:rsid w:val="009C0424"/>
    <w:rsid w:val="009C0440"/>
    <w:rsid w:val="009C15AF"/>
    <w:rsid w:val="009C21AC"/>
    <w:rsid w:val="009C2CD4"/>
    <w:rsid w:val="009C403E"/>
    <w:rsid w:val="009C409A"/>
    <w:rsid w:val="009C53D1"/>
    <w:rsid w:val="009C5674"/>
    <w:rsid w:val="009C6832"/>
    <w:rsid w:val="009C6E0D"/>
    <w:rsid w:val="009C7042"/>
    <w:rsid w:val="009C776C"/>
    <w:rsid w:val="009D004D"/>
    <w:rsid w:val="009D07D5"/>
    <w:rsid w:val="009D10E5"/>
    <w:rsid w:val="009D1F11"/>
    <w:rsid w:val="009D3180"/>
    <w:rsid w:val="009D322D"/>
    <w:rsid w:val="009D3ADE"/>
    <w:rsid w:val="009D3B4B"/>
    <w:rsid w:val="009D4178"/>
    <w:rsid w:val="009D45DF"/>
    <w:rsid w:val="009D4FF0"/>
    <w:rsid w:val="009D5F53"/>
    <w:rsid w:val="009D6060"/>
    <w:rsid w:val="009D703C"/>
    <w:rsid w:val="009D718F"/>
    <w:rsid w:val="009E068F"/>
    <w:rsid w:val="009E0A97"/>
    <w:rsid w:val="009E14E0"/>
    <w:rsid w:val="009E1A93"/>
    <w:rsid w:val="009E1CED"/>
    <w:rsid w:val="009E2B48"/>
    <w:rsid w:val="009E32D2"/>
    <w:rsid w:val="009E35DB"/>
    <w:rsid w:val="009E3ACB"/>
    <w:rsid w:val="009E3D7F"/>
    <w:rsid w:val="009E462F"/>
    <w:rsid w:val="009E47A3"/>
    <w:rsid w:val="009E4C4C"/>
    <w:rsid w:val="009E53F8"/>
    <w:rsid w:val="009E581A"/>
    <w:rsid w:val="009E5E2B"/>
    <w:rsid w:val="009E60D8"/>
    <w:rsid w:val="009E6DFA"/>
    <w:rsid w:val="009F0157"/>
    <w:rsid w:val="009F01EA"/>
    <w:rsid w:val="009F08F3"/>
    <w:rsid w:val="009F0C99"/>
    <w:rsid w:val="009F1495"/>
    <w:rsid w:val="009F1E46"/>
    <w:rsid w:val="009F2D96"/>
    <w:rsid w:val="009F344F"/>
    <w:rsid w:val="009F3D66"/>
    <w:rsid w:val="009F45F8"/>
    <w:rsid w:val="009F53E2"/>
    <w:rsid w:val="009F549A"/>
    <w:rsid w:val="009F55AD"/>
    <w:rsid w:val="009F582B"/>
    <w:rsid w:val="009F642B"/>
    <w:rsid w:val="009F77B7"/>
    <w:rsid w:val="009F7927"/>
    <w:rsid w:val="009F7D1D"/>
    <w:rsid w:val="00A01479"/>
    <w:rsid w:val="00A01834"/>
    <w:rsid w:val="00A01C14"/>
    <w:rsid w:val="00A01E09"/>
    <w:rsid w:val="00A02397"/>
    <w:rsid w:val="00A026C2"/>
    <w:rsid w:val="00A02A90"/>
    <w:rsid w:val="00A02AE3"/>
    <w:rsid w:val="00A031D8"/>
    <w:rsid w:val="00A040DB"/>
    <w:rsid w:val="00A041FE"/>
    <w:rsid w:val="00A04618"/>
    <w:rsid w:val="00A048A8"/>
    <w:rsid w:val="00A04A03"/>
    <w:rsid w:val="00A04F49"/>
    <w:rsid w:val="00A0512B"/>
    <w:rsid w:val="00A05A89"/>
    <w:rsid w:val="00A0644C"/>
    <w:rsid w:val="00A07A06"/>
    <w:rsid w:val="00A10CD9"/>
    <w:rsid w:val="00A10E3A"/>
    <w:rsid w:val="00A118EF"/>
    <w:rsid w:val="00A125D4"/>
    <w:rsid w:val="00A1344C"/>
    <w:rsid w:val="00A13BF6"/>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0F13"/>
    <w:rsid w:val="00A2193B"/>
    <w:rsid w:val="00A2351A"/>
    <w:rsid w:val="00A23664"/>
    <w:rsid w:val="00A237B4"/>
    <w:rsid w:val="00A257CB"/>
    <w:rsid w:val="00A264A9"/>
    <w:rsid w:val="00A26802"/>
    <w:rsid w:val="00A269E0"/>
    <w:rsid w:val="00A27785"/>
    <w:rsid w:val="00A278A1"/>
    <w:rsid w:val="00A30187"/>
    <w:rsid w:val="00A30B29"/>
    <w:rsid w:val="00A31275"/>
    <w:rsid w:val="00A31A6B"/>
    <w:rsid w:val="00A31C7E"/>
    <w:rsid w:val="00A33BAA"/>
    <w:rsid w:val="00A3448A"/>
    <w:rsid w:val="00A35F16"/>
    <w:rsid w:val="00A36104"/>
    <w:rsid w:val="00A36297"/>
    <w:rsid w:val="00A36782"/>
    <w:rsid w:val="00A36825"/>
    <w:rsid w:val="00A417AD"/>
    <w:rsid w:val="00A41E2B"/>
    <w:rsid w:val="00A43B9B"/>
    <w:rsid w:val="00A4530E"/>
    <w:rsid w:val="00A4597C"/>
    <w:rsid w:val="00A45B74"/>
    <w:rsid w:val="00A45DE8"/>
    <w:rsid w:val="00A45F58"/>
    <w:rsid w:val="00A46CBD"/>
    <w:rsid w:val="00A4713F"/>
    <w:rsid w:val="00A47318"/>
    <w:rsid w:val="00A47DDB"/>
    <w:rsid w:val="00A50D5F"/>
    <w:rsid w:val="00A52CC1"/>
    <w:rsid w:val="00A52E1D"/>
    <w:rsid w:val="00A533EC"/>
    <w:rsid w:val="00A54346"/>
    <w:rsid w:val="00A54F53"/>
    <w:rsid w:val="00A55278"/>
    <w:rsid w:val="00A55B8E"/>
    <w:rsid w:val="00A566D4"/>
    <w:rsid w:val="00A57667"/>
    <w:rsid w:val="00A60BCB"/>
    <w:rsid w:val="00A60E74"/>
    <w:rsid w:val="00A61339"/>
    <w:rsid w:val="00A61499"/>
    <w:rsid w:val="00A625DF"/>
    <w:rsid w:val="00A62A77"/>
    <w:rsid w:val="00A6337B"/>
    <w:rsid w:val="00A63483"/>
    <w:rsid w:val="00A642E7"/>
    <w:rsid w:val="00A657D7"/>
    <w:rsid w:val="00A65A2B"/>
    <w:rsid w:val="00A660AC"/>
    <w:rsid w:val="00A67E6C"/>
    <w:rsid w:val="00A70360"/>
    <w:rsid w:val="00A71B99"/>
    <w:rsid w:val="00A71C6E"/>
    <w:rsid w:val="00A72097"/>
    <w:rsid w:val="00A73659"/>
    <w:rsid w:val="00A73932"/>
    <w:rsid w:val="00A739D0"/>
    <w:rsid w:val="00A73EDE"/>
    <w:rsid w:val="00A7402E"/>
    <w:rsid w:val="00A748C7"/>
    <w:rsid w:val="00A757D0"/>
    <w:rsid w:val="00A75873"/>
    <w:rsid w:val="00A75B46"/>
    <w:rsid w:val="00A760E9"/>
    <w:rsid w:val="00A761D4"/>
    <w:rsid w:val="00A76349"/>
    <w:rsid w:val="00A76A62"/>
    <w:rsid w:val="00A77EC4"/>
    <w:rsid w:val="00A81DA7"/>
    <w:rsid w:val="00A81DB5"/>
    <w:rsid w:val="00A81FC1"/>
    <w:rsid w:val="00A82982"/>
    <w:rsid w:val="00A82C89"/>
    <w:rsid w:val="00A83888"/>
    <w:rsid w:val="00A84C31"/>
    <w:rsid w:val="00A85C6C"/>
    <w:rsid w:val="00A85EF6"/>
    <w:rsid w:val="00A86529"/>
    <w:rsid w:val="00A872DB"/>
    <w:rsid w:val="00A92273"/>
    <w:rsid w:val="00A92879"/>
    <w:rsid w:val="00A93AE5"/>
    <w:rsid w:val="00A93AE9"/>
    <w:rsid w:val="00A9433C"/>
    <w:rsid w:val="00A9442A"/>
    <w:rsid w:val="00A94F4B"/>
    <w:rsid w:val="00A9587F"/>
    <w:rsid w:val="00A96EA4"/>
    <w:rsid w:val="00AA016F"/>
    <w:rsid w:val="00AA0313"/>
    <w:rsid w:val="00AA158C"/>
    <w:rsid w:val="00AA1ED6"/>
    <w:rsid w:val="00AA2151"/>
    <w:rsid w:val="00AA2A52"/>
    <w:rsid w:val="00AA3140"/>
    <w:rsid w:val="00AA3F75"/>
    <w:rsid w:val="00AA51D6"/>
    <w:rsid w:val="00AA5898"/>
    <w:rsid w:val="00AA58BD"/>
    <w:rsid w:val="00AA62C4"/>
    <w:rsid w:val="00AB00BA"/>
    <w:rsid w:val="00AB0392"/>
    <w:rsid w:val="00AB0BC8"/>
    <w:rsid w:val="00AB11CA"/>
    <w:rsid w:val="00AB14D9"/>
    <w:rsid w:val="00AB22CB"/>
    <w:rsid w:val="00AB2DFF"/>
    <w:rsid w:val="00AB4AB8"/>
    <w:rsid w:val="00AB592D"/>
    <w:rsid w:val="00AB6314"/>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6121"/>
    <w:rsid w:val="00AC7789"/>
    <w:rsid w:val="00AC7F79"/>
    <w:rsid w:val="00AD0AA3"/>
    <w:rsid w:val="00AD0D33"/>
    <w:rsid w:val="00AD0E8E"/>
    <w:rsid w:val="00AD2643"/>
    <w:rsid w:val="00AD2D81"/>
    <w:rsid w:val="00AD344B"/>
    <w:rsid w:val="00AD3EA0"/>
    <w:rsid w:val="00AD3F94"/>
    <w:rsid w:val="00AD45AE"/>
    <w:rsid w:val="00AD4A5A"/>
    <w:rsid w:val="00AD5B85"/>
    <w:rsid w:val="00AE05B0"/>
    <w:rsid w:val="00AE0DC8"/>
    <w:rsid w:val="00AE124B"/>
    <w:rsid w:val="00AE1303"/>
    <w:rsid w:val="00AE1BD1"/>
    <w:rsid w:val="00AE1DC5"/>
    <w:rsid w:val="00AE22D5"/>
    <w:rsid w:val="00AE27AC"/>
    <w:rsid w:val="00AE2871"/>
    <w:rsid w:val="00AE2FEB"/>
    <w:rsid w:val="00AE40E0"/>
    <w:rsid w:val="00AE4DBA"/>
    <w:rsid w:val="00AE4F07"/>
    <w:rsid w:val="00AE5B8D"/>
    <w:rsid w:val="00AE6B3A"/>
    <w:rsid w:val="00AE6DB7"/>
    <w:rsid w:val="00AE70A8"/>
    <w:rsid w:val="00AE7823"/>
    <w:rsid w:val="00AF0198"/>
    <w:rsid w:val="00AF08FB"/>
    <w:rsid w:val="00AF15A3"/>
    <w:rsid w:val="00AF1C2D"/>
    <w:rsid w:val="00AF1C5D"/>
    <w:rsid w:val="00AF28C7"/>
    <w:rsid w:val="00AF3F43"/>
    <w:rsid w:val="00AF4287"/>
    <w:rsid w:val="00AF42D7"/>
    <w:rsid w:val="00AF672F"/>
    <w:rsid w:val="00AF6A46"/>
    <w:rsid w:val="00AF6C65"/>
    <w:rsid w:val="00B006FE"/>
    <w:rsid w:val="00B007CB"/>
    <w:rsid w:val="00B00F1E"/>
    <w:rsid w:val="00B01032"/>
    <w:rsid w:val="00B019B2"/>
    <w:rsid w:val="00B01EA9"/>
    <w:rsid w:val="00B0284C"/>
    <w:rsid w:val="00B02AA9"/>
    <w:rsid w:val="00B02FA3"/>
    <w:rsid w:val="00B03374"/>
    <w:rsid w:val="00B04487"/>
    <w:rsid w:val="00B05084"/>
    <w:rsid w:val="00B056E9"/>
    <w:rsid w:val="00B06567"/>
    <w:rsid w:val="00B07FBA"/>
    <w:rsid w:val="00B1174B"/>
    <w:rsid w:val="00B1388E"/>
    <w:rsid w:val="00B14355"/>
    <w:rsid w:val="00B148B7"/>
    <w:rsid w:val="00B157F9"/>
    <w:rsid w:val="00B15F72"/>
    <w:rsid w:val="00B16280"/>
    <w:rsid w:val="00B169DE"/>
    <w:rsid w:val="00B16AC4"/>
    <w:rsid w:val="00B20256"/>
    <w:rsid w:val="00B205BF"/>
    <w:rsid w:val="00B20B01"/>
    <w:rsid w:val="00B20D09"/>
    <w:rsid w:val="00B21242"/>
    <w:rsid w:val="00B21280"/>
    <w:rsid w:val="00B21953"/>
    <w:rsid w:val="00B21CED"/>
    <w:rsid w:val="00B22545"/>
    <w:rsid w:val="00B22841"/>
    <w:rsid w:val="00B22D53"/>
    <w:rsid w:val="00B23F9B"/>
    <w:rsid w:val="00B2429A"/>
    <w:rsid w:val="00B2568A"/>
    <w:rsid w:val="00B25851"/>
    <w:rsid w:val="00B25ACD"/>
    <w:rsid w:val="00B263CC"/>
    <w:rsid w:val="00B2763F"/>
    <w:rsid w:val="00B279B0"/>
    <w:rsid w:val="00B27AAC"/>
    <w:rsid w:val="00B30929"/>
    <w:rsid w:val="00B31806"/>
    <w:rsid w:val="00B36A76"/>
    <w:rsid w:val="00B36F5B"/>
    <w:rsid w:val="00B372AA"/>
    <w:rsid w:val="00B3745E"/>
    <w:rsid w:val="00B37C3C"/>
    <w:rsid w:val="00B40445"/>
    <w:rsid w:val="00B41888"/>
    <w:rsid w:val="00B41F2D"/>
    <w:rsid w:val="00B41F8F"/>
    <w:rsid w:val="00B435A9"/>
    <w:rsid w:val="00B43CB2"/>
    <w:rsid w:val="00B43E68"/>
    <w:rsid w:val="00B4443D"/>
    <w:rsid w:val="00B446CA"/>
    <w:rsid w:val="00B45308"/>
    <w:rsid w:val="00B45A52"/>
    <w:rsid w:val="00B46175"/>
    <w:rsid w:val="00B47766"/>
    <w:rsid w:val="00B50111"/>
    <w:rsid w:val="00B510C9"/>
    <w:rsid w:val="00B51A4F"/>
    <w:rsid w:val="00B537EE"/>
    <w:rsid w:val="00B53DE8"/>
    <w:rsid w:val="00B53E0B"/>
    <w:rsid w:val="00B53F90"/>
    <w:rsid w:val="00B552BF"/>
    <w:rsid w:val="00B556A3"/>
    <w:rsid w:val="00B558BD"/>
    <w:rsid w:val="00B56376"/>
    <w:rsid w:val="00B56474"/>
    <w:rsid w:val="00B57202"/>
    <w:rsid w:val="00B57B02"/>
    <w:rsid w:val="00B61E32"/>
    <w:rsid w:val="00B62554"/>
    <w:rsid w:val="00B63281"/>
    <w:rsid w:val="00B63870"/>
    <w:rsid w:val="00B63DCF"/>
    <w:rsid w:val="00B64D44"/>
    <w:rsid w:val="00B65120"/>
    <w:rsid w:val="00B6606B"/>
    <w:rsid w:val="00B664C7"/>
    <w:rsid w:val="00B66F18"/>
    <w:rsid w:val="00B67F1E"/>
    <w:rsid w:val="00B700A7"/>
    <w:rsid w:val="00B735BB"/>
    <w:rsid w:val="00B739B6"/>
    <w:rsid w:val="00B739F6"/>
    <w:rsid w:val="00B73B3D"/>
    <w:rsid w:val="00B74C0C"/>
    <w:rsid w:val="00B74EEC"/>
    <w:rsid w:val="00B7508A"/>
    <w:rsid w:val="00B750EF"/>
    <w:rsid w:val="00B759CA"/>
    <w:rsid w:val="00B75A51"/>
    <w:rsid w:val="00B75C45"/>
    <w:rsid w:val="00B7605C"/>
    <w:rsid w:val="00B761E0"/>
    <w:rsid w:val="00B769D8"/>
    <w:rsid w:val="00B77D05"/>
    <w:rsid w:val="00B77E1D"/>
    <w:rsid w:val="00B8037C"/>
    <w:rsid w:val="00B81A6C"/>
    <w:rsid w:val="00B81B35"/>
    <w:rsid w:val="00B82F28"/>
    <w:rsid w:val="00B83B22"/>
    <w:rsid w:val="00B83EBA"/>
    <w:rsid w:val="00B8470E"/>
    <w:rsid w:val="00B84AC6"/>
    <w:rsid w:val="00B85243"/>
    <w:rsid w:val="00B853E1"/>
    <w:rsid w:val="00B857D5"/>
    <w:rsid w:val="00B85DE5"/>
    <w:rsid w:val="00B85E07"/>
    <w:rsid w:val="00B85FD6"/>
    <w:rsid w:val="00B86E7D"/>
    <w:rsid w:val="00B8731A"/>
    <w:rsid w:val="00B87C98"/>
    <w:rsid w:val="00B90F73"/>
    <w:rsid w:val="00B91755"/>
    <w:rsid w:val="00B91A6C"/>
    <w:rsid w:val="00B9231F"/>
    <w:rsid w:val="00B929E5"/>
    <w:rsid w:val="00B93B59"/>
    <w:rsid w:val="00B9406A"/>
    <w:rsid w:val="00B94990"/>
    <w:rsid w:val="00B9624A"/>
    <w:rsid w:val="00B9628F"/>
    <w:rsid w:val="00B97C74"/>
    <w:rsid w:val="00BA171D"/>
    <w:rsid w:val="00BA2280"/>
    <w:rsid w:val="00BA2A08"/>
    <w:rsid w:val="00BA36FB"/>
    <w:rsid w:val="00BA4847"/>
    <w:rsid w:val="00BA4A75"/>
    <w:rsid w:val="00BA5449"/>
    <w:rsid w:val="00BA5561"/>
    <w:rsid w:val="00BA560D"/>
    <w:rsid w:val="00BA56D2"/>
    <w:rsid w:val="00BA5B6C"/>
    <w:rsid w:val="00BA61B7"/>
    <w:rsid w:val="00BA6B40"/>
    <w:rsid w:val="00BA72E0"/>
    <w:rsid w:val="00BA76E0"/>
    <w:rsid w:val="00BA7704"/>
    <w:rsid w:val="00BA78F8"/>
    <w:rsid w:val="00BB0728"/>
    <w:rsid w:val="00BB0731"/>
    <w:rsid w:val="00BB0C87"/>
    <w:rsid w:val="00BB0EB7"/>
    <w:rsid w:val="00BB136E"/>
    <w:rsid w:val="00BB1671"/>
    <w:rsid w:val="00BB16D4"/>
    <w:rsid w:val="00BB27CB"/>
    <w:rsid w:val="00BB2A25"/>
    <w:rsid w:val="00BB37B6"/>
    <w:rsid w:val="00BB4F95"/>
    <w:rsid w:val="00BB51E9"/>
    <w:rsid w:val="00BB5B4B"/>
    <w:rsid w:val="00BB5D3D"/>
    <w:rsid w:val="00BB7628"/>
    <w:rsid w:val="00BB792A"/>
    <w:rsid w:val="00BC0613"/>
    <w:rsid w:val="00BC0FDC"/>
    <w:rsid w:val="00BC1627"/>
    <w:rsid w:val="00BC1E1E"/>
    <w:rsid w:val="00BC3053"/>
    <w:rsid w:val="00BC324D"/>
    <w:rsid w:val="00BC413C"/>
    <w:rsid w:val="00BC41F8"/>
    <w:rsid w:val="00BC4D2E"/>
    <w:rsid w:val="00BC53ED"/>
    <w:rsid w:val="00BC6578"/>
    <w:rsid w:val="00BC73E1"/>
    <w:rsid w:val="00BD31C7"/>
    <w:rsid w:val="00BD48AC"/>
    <w:rsid w:val="00BD598E"/>
    <w:rsid w:val="00BD5A79"/>
    <w:rsid w:val="00BD5F1A"/>
    <w:rsid w:val="00BD6758"/>
    <w:rsid w:val="00BD6A57"/>
    <w:rsid w:val="00BD6C50"/>
    <w:rsid w:val="00BD7C05"/>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035F"/>
    <w:rsid w:val="00BF10B7"/>
    <w:rsid w:val="00BF2940"/>
    <w:rsid w:val="00BF2E47"/>
    <w:rsid w:val="00BF2F32"/>
    <w:rsid w:val="00BF3206"/>
    <w:rsid w:val="00BF3279"/>
    <w:rsid w:val="00BF3763"/>
    <w:rsid w:val="00BF4A0B"/>
    <w:rsid w:val="00BF4F4A"/>
    <w:rsid w:val="00BF64ED"/>
    <w:rsid w:val="00BF74C7"/>
    <w:rsid w:val="00BF7642"/>
    <w:rsid w:val="00BF78E3"/>
    <w:rsid w:val="00BF7D06"/>
    <w:rsid w:val="00BF7F22"/>
    <w:rsid w:val="00C00B32"/>
    <w:rsid w:val="00C015F1"/>
    <w:rsid w:val="00C01F33"/>
    <w:rsid w:val="00C02026"/>
    <w:rsid w:val="00C02711"/>
    <w:rsid w:val="00C02A4C"/>
    <w:rsid w:val="00C02CC6"/>
    <w:rsid w:val="00C040F7"/>
    <w:rsid w:val="00C044AB"/>
    <w:rsid w:val="00C0464E"/>
    <w:rsid w:val="00C048ED"/>
    <w:rsid w:val="00C04974"/>
    <w:rsid w:val="00C04E2F"/>
    <w:rsid w:val="00C05706"/>
    <w:rsid w:val="00C0590C"/>
    <w:rsid w:val="00C05CB7"/>
    <w:rsid w:val="00C06295"/>
    <w:rsid w:val="00C07377"/>
    <w:rsid w:val="00C07810"/>
    <w:rsid w:val="00C10478"/>
    <w:rsid w:val="00C10482"/>
    <w:rsid w:val="00C1074B"/>
    <w:rsid w:val="00C10AC8"/>
    <w:rsid w:val="00C10BF1"/>
    <w:rsid w:val="00C10CCE"/>
    <w:rsid w:val="00C115EC"/>
    <w:rsid w:val="00C12107"/>
    <w:rsid w:val="00C1295A"/>
    <w:rsid w:val="00C12E87"/>
    <w:rsid w:val="00C1376B"/>
    <w:rsid w:val="00C13A4B"/>
    <w:rsid w:val="00C1472E"/>
    <w:rsid w:val="00C14D4B"/>
    <w:rsid w:val="00C14F0B"/>
    <w:rsid w:val="00C154BB"/>
    <w:rsid w:val="00C159C8"/>
    <w:rsid w:val="00C15BCF"/>
    <w:rsid w:val="00C1641E"/>
    <w:rsid w:val="00C16685"/>
    <w:rsid w:val="00C16880"/>
    <w:rsid w:val="00C20848"/>
    <w:rsid w:val="00C20BCF"/>
    <w:rsid w:val="00C20C02"/>
    <w:rsid w:val="00C2129E"/>
    <w:rsid w:val="00C22138"/>
    <w:rsid w:val="00C23615"/>
    <w:rsid w:val="00C236A0"/>
    <w:rsid w:val="00C23BAA"/>
    <w:rsid w:val="00C24613"/>
    <w:rsid w:val="00C25158"/>
    <w:rsid w:val="00C2536D"/>
    <w:rsid w:val="00C253A3"/>
    <w:rsid w:val="00C256EC"/>
    <w:rsid w:val="00C25711"/>
    <w:rsid w:val="00C25ECC"/>
    <w:rsid w:val="00C25FB3"/>
    <w:rsid w:val="00C2631E"/>
    <w:rsid w:val="00C2666E"/>
    <w:rsid w:val="00C26853"/>
    <w:rsid w:val="00C274F8"/>
    <w:rsid w:val="00C277C3"/>
    <w:rsid w:val="00C2794A"/>
    <w:rsid w:val="00C279B5"/>
    <w:rsid w:val="00C27C45"/>
    <w:rsid w:val="00C30AE0"/>
    <w:rsid w:val="00C31387"/>
    <w:rsid w:val="00C32D47"/>
    <w:rsid w:val="00C339E4"/>
    <w:rsid w:val="00C33B33"/>
    <w:rsid w:val="00C33DD3"/>
    <w:rsid w:val="00C34ED6"/>
    <w:rsid w:val="00C35DAF"/>
    <w:rsid w:val="00C363D8"/>
    <w:rsid w:val="00C367F9"/>
    <w:rsid w:val="00C3699E"/>
    <w:rsid w:val="00C3719D"/>
    <w:rsid w:val="00C37ABF"/>
    <w:rsid w:val="00C37B0A"/>
    <w:rsid w:val="00C403FE"/>
    <w:rsid w:val="00C4093E"/>
    <w:rsid w:val="00C409F4"/>
    <w:rsid w:val="00C41794"/>
    <w:rsid w:val="00C42DA2"/>
    <w:rsid w:val="00C4445A"/>
    <w:rsid w:val="00C4451C"/>
    <w:rsid w:val="00C44D76"/>
    <w:rsid w:val="00C469B5"/>
    <w:rsid w:val="00C46B05"/>
    <w:rsid w:val="00C4762D"/>
    <w:rsid w:val="00C4763C"/>
    <w:rsid w:val="00C47E05"/>
    <w:rsid w:val="00C47FAC"/>
    <w:rsid w:val="00C47FDC"/>
    <w:rsid w:val="00C50C1A"/>
    <w:rsid w:val="00C50DE5"/>
    <w:rsid w:val="00C51E75"/>
    <w:rsid w:val="00C525E5"/>
    <w:rsid w:val="00C5343E"/>
    <w:rsid w:val="00C541C4"/>
    <w:rsid w:val="00C54995"/>
    <w:rsid w:val="00C54D41"/>
    <w:rsid w:val="00C55C18"/>
    <w:rsid w:val="00C55CF9"/>
    <w:rsid w:val="00C56E6D"/>
    <w:rsid w:val="00C6065A"/>
    <w:rsid w:val="00C60783"/>
    <w:rsid w:val="00C60CBA"/>
    <w:rsid w:val="00C62371"/>
    <w:rsid w:val="00C62558"/>
    <w:rsid w:val="00C63330"/>
    <w:rsid w:val="00C63BA9"/>
    <w:rsid w:val="00C643A2"/>
    <w:rsid w:val="00C64644"/>
    <w:rsid w:val="00C64672"/>
    <w:rsid w:val="00C64B37"/>
    <w:rsid w:val="00C6504B"/>
    <w:rsid w:val="00C65D68"/>
    <w:rsid w:val="00C65F45"/>
    <w:rsid w:val="00C6669A"/>
    <w:rsid w:val="00C66725"/>
    <w:rsid w:val="00C66B9E"/>
    <w:rsid w:val="00C67823"/>
    <w:rsid w:val="00C67F02"/>
    <w:rsid w:val="00C70697"/>
    <w:rsid w:val="00C719F4"/>
    <w:rsid w:val="00C71F71"/>
    <w:rsid w:val="00C72EF4"/>
    <w:rsid w:val="00C73202"/>
    <w:rsid w:val="00C73FA8"/>
    <w:rsid w:val="00C7468E"/>
    <w:rsid w:val="00C750F9"/>
    <w:rsid w:val="00C75D2F"/>
    <w:rsid w:val="00C75E8F"/>
    <w:rsid w:val="00C767BE"/>
    <w:rsid w:val="00C76C32"/>
    <w:rsid w:val="00C76E3C"/>
    <w:rsid w:val="00C8034E"/>
    <w:rsid w:val="00C80DD7"/>
    <w:rsid w:val="00C81568"/>
    <w:rsid w:val="00C82FFD"/>
    <w:rsid w:val="00C83B70"/>
    <w:rsid w:val="00C8407B"/>
    <w:rsid w:val="00C840F3"/>
    <w:rsid w:val="00C84A6E"/>
    <w:rsid w:val="00C86967"/>
    <w:rsid w:val="00C86E99"/>
    <w:rsid w:val="00C87109"/>
    <w:rsid w:val="00C87DDA"/>
    <w:rsid w:val="00C87E79"/>
    <w:rsid w:val="00C9027A"/>
    <w:rsid w:val="00C9058E"/>
    <w:rsid w:val="00C9068E"/>
    <w:rsid w:val="00C91CE5"/>
    <w:rsid w:val="00C91E65"/>
    <w:rsid w:val="00C92663"/>
    <w:rsid w:val="00C933DA"/>
    <w:rsid w:val="00C93418"/>
    <w:rsid w:val="00C93ABF"/>
    <w:rsid w:val="00C93C4B"/>
    <w:rsid w:val="00C941E5"/>
    <w:rsid w:val="00C942A9"/>
    <w:rsid w:val="00C944AB"/>
    <w:rsid w:val="00C945EE"/>
    <w:rsid w:val="00C95204"/>
    <w:rsid w:val="00C95B40"/>
    <w:rsid w:val="00C9628D"/>
    <w:rsid w:val="00C962EC"/>
    <w:rsid w:val="00C96407"/>
    <w:rsid w:val="00C975B9"/>
    <w:rsid w:val="00C97E62"/>
    <w:rsid w:val="00CA1045"/>
    <w:rsid w:val="00CA1068"/>
    <w:rsid w:val="00CA11E6"/>
    <w:rsid w:val="00CA1933"/>
    <w:rsid w:val="00CA1D97"/>
    <w:rsid w:val="00CA1DD1"/>
    <w:rsid w:val="00CA1ECE"/>
    <w:rsid w:val="00CA1ED8"/>
    <w:rsid w:val="00CA2417"/>
    <w:rsid w:val="00CA68AD"/>
    <w:rsid w:val="00CA6A89"/>
    <w:rsid w:val="00CA6EF3"/>
    <w:rsid w:val="00CB1945"/>
    <w:rsid w:val="00CB1C00"/>
    <w:rsid w:val="00CB1E33"/>
    <w:rsid w:val="00CB1F63"/>
    <w:rsid w:val="00CB29BE"/>
    <w:rsid w:val="00CB2D8A"/>
    <w:rsid w:val="00CB2DA2"/>
    <w:rsid w:val="00CB2F15"/>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4C8F"/>
    <w:rsid w:val="00CC5121"/>
    <w:rsid w:val="00CC5ADA"/>
    <w:rsid w:val="00CC6F40"/>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2AE5"/>
    <w:rsid w:val="00CE33DE"/>
    <w:rsid w:val="00CE467F"/>
    <w:rsid w:val="00CE540B"/>
    <w:rsid w:val="00CE65A7"/>
    <w:rsid w:val="00CE6D5A"/>
    <w:rsid w:val="00CE7561"/>
    <w:rsid w:val="00CE7ADB"/>
    <w:rsid w:val="00CE7B2F"/>
    <w:rsid w:val="00CE7CC5"/>
    <w:rsid w:val="00CF01B9"/>
    <w:rsid w:val="00CF0299"/>
    <w:rsid w:val="00CF0909"/>
    <w:rsid w:val="00CF1354"/>
    <w:rsid w:val="00CF13FB"/>
    <w:rsid w:val="00CF26E5"/>
    <w:rsid w:val="00CF300D"/>
    <w:rsid w:val="00CF3154"/>
    <w:rsid w:val="00CF34C9"/>
    <w:rsid w:val="00CF3B1F"/>
    <w:rsid w:val="00CF3BF6"/>
    <w:rsid w:val="00CF3E8C"/>
    <w:rsid w:val="00CF50E9"/>
    <w:rsid w:val="00CF5E3B"/>
    <w:rsid w:val="00CF625B"/>
    <w:rsid w:val="00CF6576"/>
    <w:rsid w:val="00CF687E"/>
    <w:rsid w:val="00CF6ABA"/>
    <w:rsid w:val="00CF74E2"/>
    <w:rsid w:val="00CF75FF"/>
    <w:rsid w:val="00D009DC"/>
    <w:rsid w:val="00D010D0"/>
    <w:rsid w:val="00D0120F"/>
    <w:rsid w:val="00D02B70"/>
    <w:rsid w:val="00D030F3"/>
    <w:rsid w:val="00D0349B"/>
    <w:rsid w:val="00D03B17"/>
    <w:rsid w:val="00D03E6D"/>
    <w:rsid w:val="00D04523"/>
    <w:rsid w:val="00D049E2"/>
    <w:rsid w:val="00D0509F"/>
    <w:rsid w:val="00D068D0"/>
    <w:rsid w:val="00D06D6F"/>
    <w:rsid w:val="00D07DC9"/>
    <w:rsid w:val="00D07E6C"/>
    <w:rsid w:val="00D1003B"/>
    <w:rsid w:val="00D10249"/>
    <w:rsid w:val="00D115C3"/>
    <w:rsid w:val="00D11897"/>
    <w:rsid w:val="00D11BCF"/>
    <w:rsid w:val="00D11C0E"/>
    <w:rsid w:val="00D11E88"/>
    <w:rsid w:val="00D123B9"/>
    <w:rsid w:val="00D130D3"/>
    <w:rsid w:val="00D13135"/>
    <w:rsid w:val="00D13E4E"/>
    <w:rsid w:val="00D15413"/>
    <w:rsid w:val="00D1594B"/>
    <w:rsid w:val="00D15B46"/>
    <w:rsid w:val="00D160CC"/>
    <w:rsid w:val="00D16613"/>
    <w:rsid w:val="00D16BBB"/>
    <w:rsid w:val="00D1718B"/>
    <w:rsid w:val="00D21E21"/>
    <w:rsid w:val="00D22B56"/>
    <w:rsid w:val="00D238EC"/>
    <w:rsid w:val="00D239A7"/>
    <w:rsid w:val="00D23CF9"/>
    <w:rsid w:val="00D23F47"/>
    <w:rsid w:val="00D2446A"/>
    <w:rsid w:val="00D246ED"/>
    <w:rsid w:val="00D24C1C"/>
    <w:rsid w:val="00D25A53"/>
    <w:rsid w:val="00D25B71"/>
    <w:rsid w:val="00D27209"/>
    <w:rsid w:val="00D27A0B"/>
    <w:rsid w:val="00D27B0C"/>
    <w:rsid w:val="00D30F95"/>
    <w:rsid w:val="00D311D4"/>
    <w:rsid w:val="00D32571"/>
    <w:rsid w:val="00D325DB"/>
    <w:rsid w:val="00D326B7"/>
    <w:rsid w:val="00D3338B"/>
    <w:rsid w:val="00D34033"/>
    <w:rsid w:val="00D34880"/>
    <w:rsid w:val="00D36309"/>
    <w:rsid w:val="00D36448"/>
    <w:rsid w:val="00D36CD4"/>
    <w:rsid w:val="00D36E71"/>
    <w:rsid w:val="00D3721E"/>
    <w:rsid w:val="00D3727B"/>
    <w:rsid w:val="00D3778C"/>
    <w:rsid w:val="00D37D87"/>
    <w:rsid w:val="00D40067"/>
    <w:rsid w:val="00D407DD"/>
    <w:rsid w:val="00D408DA"/>
    <w:rsid w:val="00D40B33"/>
    <w:rsid w:val="00D414AA"/>
    <w:rsid w:val="00D42135"/>
    <w:rsid w:val="00D4254C"/>
    <w:rsid w:val="00D42D5B"/>
    <w:rsid w:val="00D4318F"/>
    <w:rsid w:val="00D4347E"/>
    <w:rsid w:val="00D436A7"/>
    <w:rsid w:val="00D438BF"/>
    <w:rsid w:val="00D440CD"/>
    <w:rsid w:val="00D440F8"/>
    <w:rsid w:val="00D44891"/>
    <w:rsid w:val="00D44FEA"/>
    <w:rsid w:val="00D46757"/>
    <w:rsid w:val="00D509CA"/>
    <w:rsid w:val="00D50E88"/>
    <w:rsid w:val="00D51E3A"/>
    <w:rsid w:val="00D546FF"/>
    <w:rsid w:val="00D54791"/>
    <w:rsid w:val="00D54AA7"/>
    <w:rsid w:val="00D54B16"/>
    <w:rsid w:val="00D5515F"/>
    <w:rsid w:val="00D556B1"/>
    <w:rsid w:val="00D55AD5"/>
    <w:rsid w:val="00D562C6"/>
    <w:rsid w:val="00D56F32"/>
    <w:rsid w:val="00D5711B"/>
    <w:rsid w:val="00D57636"/>
    <w:rsid w:val="00D576CA"/>
    <w:rsid w:val="00D57C7D"/>
    <w:rsid w:val="00D57DD1"/>
    <w:rsid w:val="00D6026E"/>
    <w:rsid w:val="00D60282"/>
    <w:rsid w:val="00D603C4"/>
    <w:rsid w:val="00D60F61"/>
    <w:rsid w:val="00D61AF5"/>
    <w:rsid w:val="00D6264C"/>
    <w:rsid w:val="00D62725"/>
    <w:rsid w:val="00D63449"/>
    <w:rsid w:val="00D6367E"/>
    <w:rsid w:val="00D63CFD"/>
    <w:rsid w:val="00D641A6"/>
    <w:rsid w:val="00D642CA"/>
    <w:rsid w:val="00D652B5"/>
    <w:rsid w:val="00D66022"/>
    <w:rsid w:val="00D66155"/>
    <w:rsid w:val="00D665B9"/>
    <w:rsid w:val="00D66B36"/>
    <w:rsid w:val="00D66E89"/>
    <w:rsid w:val="00D66E8D"/>
    <w:rsid w:val="00D67CC1"/>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2AD"/>
    <w:rsid w:val="00D80383"/>
    <w:rsid w:val="00D8102F"/>
    <w:rsid w:val="00D813ED"/>
    <w:rsid w:val="00D8168B"/>
    <w:rsid w:val="00D823C6"/>
    <w:rsid w:val="00D8260F"/>
    <w:rsid w:val="00D827F5"/>
    <w:rsid w:val="00D82A76"/>
    <w:rsid w:val="00D82DF7"/>
    <w:rsid w:val="00D834FD"/>
    <w:rsid w:val="00D83594"/>
    <w:rsid w:val="00D83A16"/>
    <w:rsid w:val="00D84553"/>
    <w:rsid w:val="00D848E6"/>
    <w:rsid w:val="00D84C46"/>
    <w:rsid w:val="00D85A9A"/>
    <w:rsid w:val="00D85B4C"/>
    <w:rsid w:val="00D86CA3"/>
    <w:rsid w:val="00D86D6B"/>
    <w:rsid w:val="00D871CE"/>
    <w:rsid w:val="00D8741A"/>
    <w:rsid w:val="00D8791D"/>
    <w:rsid w:val="00D87D41"/>
    <w:rsid w:val="00D912F6"/>
    <w:rsid w:val="00D9196D"/>
    <w:rsid w:val="00D92982"/>
    <w:rsid w:val="00D9433E"/>
    <w:rsid w:val="00D947A7"/>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A6B7A"/>
    <w:rsid w:val="00DB0A9F"/>
    <w:rsid w:val="00DB202F"/>
    <w:rsid w:val="00DB3535"/>
    <w:rsid w:val="00DB377D"/>
    <w:rsid w:val="00DB4C35"/>
    <w:rsid w:val="00DB50CE"/>
    <w:rsid w:val="00DB5A1C"/>
    <w:rsid w:val="00DB619E"/>
    <w:rsid w:val="00DB7696"/>
    <w:rsid w:val="00DB7AF6"/>
    <w:rsid w:val="00DB7C92"/>
    <w:rsid w:val="00DC05B0"/>
    <w:rsid w:val="00DC0722"/>
    <w:rsid w:val="00DC1EBB"/>
    <w:rsid w:val="00DC2080"/>
    <w:rsid w:val="00DC20F4"/>
    <w:rsid w:val="00DC2D36"/>
    <w:rsid w:val="00DC327B"/>
    <w:rsid w:val="00DC357A"/>
    <w:rsid w:val="00DC4104"/>
    <w:rsid w:val="00DC48BD"/>
    <w:rsid w:val="00DC4AE6"/>
    <w:rsid w:val="00DC53CC"/>
    <w:rsid w:val="00DC53EF"/>
    <w:rsid w:val="00DC5B22"/>
    <w:rsid w:val="00DC5D25"/>
    <w:rsid w:val="00DC6C3C"/>
    <w:rsid w:val="00DC7542"/>
    <w:rsid w:val="00DD0CB7"/>
    <w:rsid w:val="00DD14C5"/>
    <w:rsid w:val="00DD2D4B"/>
    <w:rsid w:val="00DD42D8"/>
    <w:rsid w:val="00DD44D4"/>
    <w:rsid w:val="00DD7CE7"/>
    <w:rsid w:val="00DE2047"/>
    <w:rsid w:val="00DE2AD4"/>
    <w:rsid w:val="00DE2CF2"/>
    <w:rsid w:val="00DE394D"/>
    <w:rsid w:val="00DE47A5"/>
    <w:rsid w:val="00DE5531"/>
    <w:rsid w:val="00DE5608"/>
    <w:rsid w:val="00DE58D0"/>
    <w:rsid w:val="00DE5FF8"/>
    <w:rsid w:val="00DE654F"/>
    <w:rsid w:val="00DE71FD"/>
    <w:rsid w:val="00DE7565"/>
    <w:rsid w:val="00DE78AC"/>
    <w:rsid w:val="00DE792D"/>
    <w:rsid w:val="00DF0B6E"/>
    <w:rsid w:val="00DF0C86"/>
    <w:rsid w:val="00DF15E0"/>
    <w:rsid w:val="00DF2631"/>
    <w:rsid w:val="00DF28E5"/>
    <w:rsid w:val="00DF37A0"/>
    <w:rsid w:val="00DF4D3E"/>
    <w:rsid w:val="00DF64DB"/>
    <w:rsid w:val="00DF69E1"/>
    <w:rsid w:val="00DF6E1C"/>
    <w:rsid w:val="00DF7E26"/>
    <w:rsid w:val="00DF7F5C"/>
    <w:rsid w:val="00E00056"/>
    <w:rsid w:val="00E01348"/>
    <w:rsid w:val="00E02B5E"/>
    <w:rsid w:val="00E02C39"/>
    <w:rsid w:val="00E02CB1"/>
    <w:rsid w:val="00E0351D"/>
    <w:rsid w:val="00E04905"/>
    <w:rsid w:val="00E0501D"/>
    <w:rsid w:val="00E05C7A"/>
    <w:rsid w:val="00E0643B"/>
    <w:rsid w:val="00E06952"/>
    <w:rsid w:val="00E06CB3"/>
    <w:rsid w:val="00E110E7"/>
    <w:rsid w:val="00E11B20"/>
    <w:rsid w:val="00E11C70"/>
    <w:rsid w:val="00E125FC"/>
    <w:rsid w:val="00E13136"/>
    <w:rsid w:val="00E13FDE"/>
    <w:rsid w:val="00E148D3"/>
    <w:rsid w:val="00E14B63"/>
    <w:rsid w:val="00E14BFF"/>
    <w:rsid w:val="00E14F8F"/>
    <w:rsid w:val="00E1543D"/>
    <w:rsid w:val="00E166DD"/>
    <w:rsid w:val="00E16703"/>
    <w:rsid w:val="00E16EA7"/>
    <w:rsid w:val="00E17FA2"/>
    <w:rsid w:val="00E20D4E"/>
    <w:rsid w:val="00E2136F"/>
    <w:rsid w:val="00E22330"/>
    <w:rsid w:val="00E231AE"/>
    <w:rsid w:val="00E23823"/>
    <w:rsid w:val="00E25282"/>
    <w:rsid w:val="00E2584F"/>
    <w:rsid w:val="00E25AEF"/>
    <w:rsid w:val="00E2608B"/>
    <w:rsid w:val="00E260C3"/>
    <w:rsid w:val="00E26441"/>
    <w:rsid w:val="00E27333"/>
    <w:rsid w:val="00E27C3E"/>
    <w:rsid w:val="00E27DD2"/>
    <w:rsid w:val="00E301E3"/>
    <w:rsid w:val="00E302B1"/>
    <w:rsid w:val="00E30B5A"/>
    <w:rsid w:val="00E3123D"/>
    <w:rsid w:val="00E31461"/>
    <w:rsid w:val="00E31D43"/>
    <w:rsid w:val="00E323DB"/>
    <w:rsid w:val="00E32608"/>
    <w:rsid w:val="00E34055"/>
    <w:rsid w:val="00E34188"/>
    <w:rsid w:val="00E34A40"/>
    <w:rsid w:val="00E34B6E"/>
    <w:rsid w:val="00E353C8"/>
    <w:rsid w:val="00E35559"/>
    <w:rsid w:val="00E36731"/>
    <w:rsid w:val="00E36DCE"/>
    <w:rsid w:val="00E3723A"/>
    <w:rsid w:val="00E376CA"/>
    <w:rsid w:val="00E37860"/>
    <w:rsid w:val="00E37EFC"/>
    <w:rsid w:val="00E40A56"/>
    <w:rsid w:val="00E40B35"/>
    <w:rsid w:val="00E41A6D"/>
    <w:rsid w:val="00E41ECE"/>
    <w:rsid w:val="00E42604"/>
    <w:rsid w:val="00E44305"/>
    <w:rsid w:val="00E446F1"/>
    <w:rsid w:val="00E44C4C"/>
    <w:rsid w:val="00E450B6"/>
    <w:rsid w:val="00E45151"/>
    <w:rsid w:val="00E460B2"/>
    <w:rsid w:val="00E46886"/>
    <w:rsid w:val="00E471D8"/>
    <w:rsid w:val="00E47A10"/>
    <w:rsid w:val="00E47AEF"/>
    <w:rsid w:val="00E50C00"/>
    <w:rsid w:val="00E51519"/>
    <w:rsid w:val="00E52838"/>
    <w:rsid w:val="00E53B75"/>
    <w:rsid w:val="00E5400A"/>
    <w:rsid w:val="00E544E8"/>
    <w:rsid w:val="00E54E3B"/>
    <w:rsid w:val="00E551EE"/>
    <w:rsid w:val="00E56109"/>
    <w:rsid w:val="00E56185"/>
    <w:rsid w:val="00E56701"/>
    <w:rsid w:val="00E5689D"/>
    <w:rsid w:val="00E56B9C"/>
    <w:rsid w:val="00E574EE"/>
    <w:rsid w:val="00E57565"/>
    <w:rsid w:val="00E576EF"/>
    <w:rsid w:val="00E609FB"/>
    <w:rsid w:val="00E61003"/>
    <w:rsid w:val="00E61129"/>
    <w:rsid w:val="00E62356"/>
    <w:rsid w:val="00E63838"/>
    <w:rsid w:val="00E63D05"/>
    <w:rsid w:val="00E64434"/>
    <w:rsid w:val="00E64B80"/>
    <w:rsid w:val="00E652A0"/>
    <w:rsid w:val="00E6582A"/>
    <w:rsid w:val="00E678F9"/>
    <w:rsid w:val="00E67C51"/>
    <w:rsid w:val="00E70138"/>
    <w:rsid w:val="00E707F9"/>
    <w:rsid w:val="00E709FB"/>
    <w:rsid w:val="00E716C2"/>
    <w:rsid w:val="00E72284"/>
    <w:rsid w:val="00E72EFC"/>
    <w:rsid w:val="00E73828"/>
    <w:rsid w:val="00E73DFE"/>
    <w:rsid w:val="00E74D51"/>
    <w:rsid w:val="00E7523A"/>
    <w:rsid w:val="00E758EC"/>
    <w:rsid w:val="00E763EC"/>
    <w:rsid w:val="00E7685D"/>
    <w:rsid w:val="00E76968"/>
    <w:rsid w:val="00E76E65"/>
    <w:rsid w:val="00E77F4A"/>
    <w:rsid w:val="00E80840"/>
    <w:rsid w:val="00E80B4C"/>
    <w:rsid w:val="00E8234C"/>
    <w:rsid w:val="00E82911"/>
    <w:rsid w:val="00E82A29"/>
    <w:rsid w:val="00E83AA9"/>
    <w:rsid w:val="00E84714"/>
    <w:rsid w:val="00E851F9"/>
    <w:rsid w:val="00E85928"/>
    <w:rsid w:val="00E86286"/>
    <w:rsid w:val="00E86609"/>
    <w:rsid w:val="00E86926"/>
    <w:rsid w:val="00E875A2"/>
    <w:rsid w:val="00E87822"/>
    <w:rsid w:val="00E87939"/>
    <w:rsid w:val="00E9037C"/>
    <w:rsid w:val="00E90395"/>
    <w:rsid w:val="00E9042D"/>
    <w:rsid w:val="00E90812"/>
    <w:rsid w:val="00E90E49"/>
    <w:rsid w:val="00E90F70"/>
    <w:rsid w:val="00E917F9"/>
    <w:rsid w:val="00E9245B"/>
    <w:rsid w:val="00E92908"/>
    <w:rsid w:val="00E9291C"/>
    <w:rsid w:val="00E92946"/>
    <w:rsid w:val="00E93117"/>
    <w:rsid w:val="00E93141"/>
    <w:rsid w:val="00E93FFE"/>
    <w:rsid w:val="00E94F8A"/>
    <w:rsid w:val="00E95145"/>
    <w:rsid w:val="00E95B1A"/>
    <w:rsid w:val="00E978CE"/>
    <w:rsid w:val="00EA10D0"/>
    <w:rsid w:val="00EA1C01"/>
    <w:rsid w:val="00EA1D59"/>
    <w:rsid w:val="00EA1EEB"/>
    <w:rsid w:val="00EA2018"/>
    <w:rsid w:val="00EA2661"/>
    <w:rsid w:val="00EA2E4C"/>
    <w:rsid w:val="00EA3687"/>
    <w:rsid w:val="00EA3879"/>
    <w:rsid w:val="00EA478D"/>
    <w:rsid w:val="00EA4B16"/>
    <w:rsid w:val="00EA5D6C"/>
    <w:rsid w:val="00EA5DBF"/>
    <w:rsid w:val="00EA6263"/>
    <w:rsid w:val="00EA6CA3"/>
    <w:rsid w:val="00EA71A0"/>
    <w:rsid w:val="00EA7839"/>
    <w:rsid w:val="00EA7A41"/>
    <w:rsid w:val="00EA7BCC"/>
    <w:rsid w:val="00EB077B"/>
    <w:rsid w:val="00EB14C4"/>
    <w:rsid w:val="00EB168F"/>
    <w:rsid w:val="00EB1EAA"/>
    <w:rsid w:val="00EB209A"/>
    <w:rsid w:val="00EB2904"/>
    <w:rsid w:val="00EB39AA"/>
    <w:rsid w:val="00EB3CAB"/>
    <w:rsid w:val="00EB4D80"/>
    <w:rsid w:val="00EB4EA2"/>
    <w:rsid w:val="00EB55A1"/>
    <w:rsid w:val="00EB57E4"/>
    <w:rsid w:val="00EB7840"/>
    <w:rsid w:val="00EB7A12"/>
    <w:rsid w:val="00EC140C"/>
    <w:rsid w:val="00EC1670"/>
    <w:rsid w:val="00EC27C6"/>
    <w:rsid w:val="00EC282C"/>
    <w:rsid w:val="00EC36AF"/>
    <w:rsid w:val="00EC395F"/>
    <w:rsid w:val="00EC4207"/>
    <w:rsid w:val="00EC4448"/>
    <w:rsid w:val="00EC46E3"/>
    <w:rsid w:val="00EC49AF"/>
    <w:rsid w:val="00EC5653"/>
    <w:rsid w:val="00EC6255"/>
    <w:rsid w:val="00EC62A9"/>
    <w:rsid w:val="00EC6431"/>
    <w:rsid w:val="00EC71CE"/>
    <w:rsid w:val="00EC71D3"/>
    <w:rsid w:val="00EC77A7"/>
    <w:rsid w:val="00ED04E1"/>
    <w:rsid w:val="00ED0A13"/>
    <w:rsid w:val="00ED1006"/>
    <w:rsid w:val="00ED1EAA"/>
    <w:rsid w:val="00ED2A61"/>
    <w:rsid w:val="00ED3243"/>
    <w:rsid w:val="00ED3F8A"/>
    <w:rsid w:val="00ED4757"/>
    <w:rsid w:val="00ED59A3"/>
    <w:rsid w:val="00ED5C25"/>
    <w:rsid w:val="00ED5E1D"/>
    <w:rsid w:val="00ED6449"/>
    <w:rsid w:val="00ED66FD"/>
    <w:rsid w:val="00ED7ADC"/>
    <w:rsid w:val="00EE0E20"/>
    <w:rsid w:val="00EE10B2"/>
    <w:rsid w:val="00EE163F"/>
    <w:rsid w:val="00EE1F8F"/>
    <w:rsid w:val="00EE2532"/>
    <w:rsid w:val="00EE29E6"/>
    <w:rsid w:val="00EE3738"/>
    <w:rsid w:val="00EE3BE4"/>
    <w:rsid w:val="00EE3F38"/>
    <w:rsid w:val="00EE40E7"/>
    <w:rsid w:val="00EE4F8B"/>
    <w:rsid w:val="00EE5820"/>
    <w:rsid w:val="00EE59C8"/>
    <w:rsid w:val="00EE5A7B"/>
    <w:rsid w:val="00EE6451"/>
    <w:rsid w:val="00EE651E"/>
    <w:rsid w:val="00EE67C5"/>
    <w:rsid w:val="00EE6AD8"/>
    <w:rsid w:val="00EE6BC8"/>
    <w:rsid w:val="00EE73BC"/>
    <w:rsid w:val="00EF025F"/>
    <w:rsid w:val="00EF0412"/>
    <w:rsid w:val="00EF09B1"/>
    <w:rsid w:val="00EF0B5E"/>
    <w:rsid w:val="00EF0BD3"/>
    <w:rsid w:val="00EF18FE"/>
    <w:rsid w:val="00EF2432"/>
    <w:rsid w:val="00EF2734"/>
    <w:rsid w:val="00EF2BDD"/>
    <w:rsid w:val="00EF2F6C"/>
    <w:rsid w:val="00EF351C"/>
    <w:rsid w:val="00EF4780"/>
    <w:rsid w:val="00EF4820"/>
    <w:rsid w:val="00EF4EE2"/>
    <w:rsid w:val="00EF55D8"/>
    <w:rsid w:val="00EF5787"/>
    <w:rsid w:val="00EF59B8"/>
    <w:rsid w:val="00EF5F5E"/>
    <w:rsid w:val="00EF60D0"/>
    <w:rsid w:val="00EF62AB"/>
    <w:rsid w:val="00EF64CE"/>
    <w:rsid w:val="00F00F8D"/>
    <w:rsid w:val="00F01604"/>
    <w:rsid w:val="00F01ED3"/>
    <w:rsid w:val="00F025D5"/>
    <w:rsid w:val="00F02714"/>
    <w:rsid w:val="00F0272B"/>
    <w:rsid w:val="00F027B3"/>
    <w:rsid w:val="00F02A35"/>
    <w:rsid w:val="00F02E4D"/>
    <w:rsid w:val="00F0439C"/>
    <w:rsid w:val="00F045AA"/>
    <w:rsid w:val="00F047C3"/>
    <w:rsid w:val="00F0528D"/>
    <w:rsid w:val="00F05FBA"/>
    <w:rsid w:val="00F066A3"/>
    <w:rsid w:val="00F06A8E"/>
    <w:rsid w:val="00F06C67"/>
    <w:rsid w:val="00F06DFD"/>
    <w:rsid w:val="00F071D1"/>
    <w:rsid w:val="00F07533"/>
    <w:rsid w:val="00F10228"/>
    <w:rsid w:val="00F10399"/>
    <w:rsid w:val="00F10629"/>
    <w:rsid w:val="00F10BF1"/>
    <w:rsid w:val="00F1189E"/>
    <w:rsid w:val="00F12225"/>
    <w:rsid w:val="00F12F8F"/>
    <w:rsid w:val="00F13226"/>
    <w:rsid w:val="00F1517C"/>
    <w:rsid w:val="00F15F69"/>
    <w:rsid w:val="00F15FA5"/>
    <w:rsid w:val="00F16781"/>
    <w:rsid w:val="00F16810"/>
    <w:rsid w:val="00F17853"/>
    <w:rsid w:val="00F17A76"/>
    <w:rsid w:val="00F17F6B"/>
    <w:rsid w:val="00F204A3"/>
    <w:rsid w:val="00F20945"/>
    <w:rsid w:val="00F209B7"/>
    <w:rsid w:val="00F20C76"/>
    <w:rsid w:val="00F2136A"/>
    <w:rsid w:val="00F2152A"/>
    <w:rsid w:val="00F215C1"/>
    <w:rsid w:val="00F217D3"/>
    <w:rsid w:val="00F21E40"/>
    <w:rsid w:val="00F2376F"/>
    <w:rsid w:val="00F23E3A"/>
    <w:rsid w:val="00F243D8"/>
    <w:rsid w:val="00F24C49"/>
    <w:rsid w:val="00F2503D"/>
    <w:rsid w:val="00F258EC"/>
    <w:rsid w:val="00F25B66"/>
    <w:rsid w:val="00F25EB0"/>
    <w:rsid w:val="00F263BE"/>
    <w:rsid w:val="00F26BB4"/>
    <w:rsid w:val="00F2793D"/>
    <w:rsid w:val="00F27FA0"/>
    <w:rsid w:val="00F30828"/>
    <w:rsid w:val="00F313D6"/>
    <w:rsid w:val="00F32F2E"/>
    <w:rsid w:val="00F33B9D"/>
    <w:rsid w:val="00F35678"/>
    <w:rsid w:val="00F358CB"/>
    <w:rsid w:val="00F35EF1"/>
    <w:rsid w:val="00F3728F"/>
    <w:rsid w:val="00F37C8E"/>
    <w:rsid w:val="00F37D47"/>
    <w:rsid w:val="00F37E63"/>
    <w:rsid w:val="00F40146"/>
    <w:rsid w:val="00F40F0C"/>
    <w:rsid w:val="00F41037"/>
    <w:rsid w:val="00F41D9F"/>
    <w:rsid w:val="00F440F7"/>
    <w:rsid w:val="00F45437"/>
    <w:rsid w:val="00F454E0"/>
    <w:rsid w:val="00F4602A"/>
    <w:rsid w:val="00F46A96"/>
    <w:rsid w:val="00F47411"/>
    <w:rsid w:val="00F4766C"/>
    <w:rsid w:val="00F47923"/>
    <w:rsid w:val="00F47AA3"/>
    <w:rsid w:val="00F47B0E"/>
    <w:rsid w:val="00F502C2"/>
    <w:rsid w:val="00F5060E"/>
    <w:rsid w:val="00F507D1"/>
    <w:rsid w:val="00F50CD0"/>
    <w:rsid w:val="00F519CE"/>
    <w:rsid w:val="00F51ADA"/>
    <w:rsid w:val="00F51C5F"/>
    <w:rsid w:val="00F535E4"/>
    <w:rsid w:val="00F535EF"/>
    <w:rsid w:val="00F54617"/>
    <w:rsid w:val="00F54FC0"/>
    <w:rsid w:val="00F569BC"/>
    <w:rsid w:val="00F56A50"/>
    <w:rsid w:val="00F5709B"/>
    <w:rsid w:val="00F57C72"/>
    <w:rsid w:val="00F607C5"/>
    <w:rsid w:val="00F60A6E"/>
    <w:rsid w:val="00F60DEA"/>
    <w:rsid w:val="00F61E79"/>
    <w:rsid w:val="00F62344"/>
    <w:rsid w:val="00F6302A"/>
    <w:rsid w:val="00F632CE"/>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2FDF"/>
    <w:rsid w:val="00F730ED"/>
    <w:rsid w:val="00F73190"/>
    <w:rsid w:val="00F73614"/>
    <w:rsid w:val="00F73E5A"/>
    <w:rsid w:val="00F748DE"/>
    <w:rsid w:val="00F74BB9"/>
    <w:rsid w:val="00F74FDE"/>
    <w:rsid w:val="00F75582"/>
    <w:rsid w:val="00F75AE0"/>
    <w:rsid w:val="00F76ACA"/>
    <w:rsid w:val="00F76EFA"/>
    <w:rsid w:val="00F77149"/>
    <w:rsid w:val="00F7756E"/>
    <w:rsid w:val="00F77AD8"/>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1077"/>
    <w:rsid w:val="00F91FDC"/>
    <w:rsid w:val="00F92782"/>
    <w:rsid w:val="00F93AA9"/>
    <w:rsid w:val="00F95C63"/>
    <w:rsid w:val="00F95ECD"/>
    <w:rsid w:val="00F95FA2"/>
    <w:rsid w:val="00F96464"/>
    <w:rsid w:val="00F96985"/>
    <w:rsid w:val="00F96DDF"/>
    <w:rsid w:val="00F97127"/>
    <w:rsid w:val="00F97838"/>
    <w:rsid w:val="00F97C70"/>
    <w:rsid w:val="00F97E40"/>
    <w:rsid w:val="00FA03DC"/>
    <w:rsid w:val="00FA0532"/>
    <w:rsid w:val="00FA1717"/>
    <w:rsid w:val="00FA1970"/>
    <w:rsid w:val="00FA204A"/>
    <w:rsid w:val="00FA2BB3"/>
    <w:rsid w:val="00FA2C57"/>
    <w:rsid w:val="00FA362C"/>
    <w:rsid w:val="00FA3BB7"/>
    <w:rsid w:val="00FA4A1B"/>
    <w:rsid w:val="00FA6E88"/>
    <w:rsid w:val="00FA75EC"/>
    <w:rsid w:val="00FB0DC1"/>
    <w:rsid w:val="00FB1494"/>
    <w:rsid w:val="00FB1696"/>
    <w:rsid w:val="00FB20C9"/>
    <w:rsid w:val="00FB29E7"/>
    <w:rsid w:val="00FB2D42"/>
    <w:rsid w:val="00FB4861"/>
    <w:rsid w:val="00FB4C80"/>
    <w:rsid w:val="00FB5282"/>
    <w:rsid w:val="00FB545A"/>
    <w:rsid w:val="00FB54A7"/>
    <w:rsid w:val="00FB5C69"/>
    <w:rsid w:val="00FB5E1E"/>
    <w:rsid w:val="00FB63B9"/>
    <w:rsid w:val="00FB6651"/>
    <w:rsid w:val="00FB6805"/>
    <w:rsid w:val="00FB6A6A"/>
    <w:rsid w:val="00FB715C"/>
    <w:rsid w:val="00FC0461"/>
    <w:rsid w:val="00FC247A"/>
    <w:rsid w:val="00FC3AC5"/>
    <w:rsid w:val="00FC536B"/>
    <w:rsid w:val="00FC58B2"/>
    <w:rsid w:val="00FC66C7"/>
    <w:rsid w:val="00FC6F4A"/>
    <w:rsid w:val="00FC717C"/>
    <w:rsid w:val="00FC7429"/>
    <w:rsid w:val="00FC7433"/>
    <w:rsid w:val="00FC78C2"/>
    <w:rsid w:val="00FD03FE"/>
    <w:rsid w:val="00FD05E7"/>
    <w:rsid w:val="00FD07F6"/>
    <w:rsid w:val="00FD0CB6"/>
    <w:rsid w:val="00FD0EF6"/>
    <w:rsid w:val="00FD10A8"/>
    <w:rsid w:val="00FD15BE"/>
    <w:rsid w:val="00FD1A16"/>
    <w:rsid w:val="00FD1D9D"/>
    <w:rsid w:val="00FD1EC8"/>
    <w:rsid w:val="00FD2187"/>
    <w:rsid w:val="00FD3E21"/>
    <w:rsid w:val="00FD47ED"/>
    <w:rsid w:val="00FD4907"/>
    <w:rsid w:val="00FD5337"/>
    <w:rsid w:val="00FD5407"/>
    <w:rsid w:val="00FD543B"/>
    <w:rsid w:val="00FD5FF4"/>
    <w:rsid w:val="00FD61F8"/>
    <w:rsid w:val="00FD74DB"/>
    <w:rsid w:val="00FD7660"/>
    <w:rsid w:val="00FD7907"/>
    <w:rsid w:val="00FE02F5"/>
    <w:rsid w:val="00FE0345"/>
    <w:rsid w:val="00FE0599"/>
    <w:rsid w:val="00FE0655"/>
    <w:rsid w:val="00FE1F35"/>
    <w:rsid w:val="00FE1F5A"/>
    <w:rsid w:val="00FE2365"/>
    <w:rsid w:val="00FE247B"/>
    <w:rsid w:val="00FE37D7"/>
    <w:rsid w:val="00FE3C75"/>
    <w:rsid w:val="00FE48B1"/>
    <w:rsid w:val="00FE4C7B"/>
    <w:rsid w:val="00FE5EDB"/>
    <w:rsid w:val="00FE658D"/>
    <w:rsid w:val="00FE6904"/>
    <w:rsid w:val="00FE6F94"/>
    <w:rsid w:val="00FE7336"/>
    <w:rsid w:val="00FE787C"/>
    <w:rsid w:val="00FF0EA2"/>
    <w:rsid w:val="00FF1078"/>
    <w:rsid w:val="00FF17DF"/>
    <w:rsid w:val="00FF185F"/>
    <w:rsid w:val="00FF4156"/>
    <w:rsid w:val="00FF4334"/>
    <w:rsid w:val="00FF45A5"/>
    <w:rsid w:val="00FF4D21"/>
    <w:rsid w:val="00FF5581"/>
    <w:rsid w:val="00FF5C91"/>
    <w:rsid w:val="00FF75DC"/>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Style1Char">
    <w:name w:val="Style1 Char"/>
    <w:link w:val="Style1"/>
    <w:locked/>
    <w:rsid w:val="001B05A2"/>
    <w:rPr>
      <w:rFonts w:ascii="Malgun Gothic" w:eastAsia="Malgun Gothic" w:hAnsi="Malgun Gothic" w:cs="Batang"/>
      <w:lang w:val="en-GB"/>
    </w:rPr>
  </w:style>
  <w:style w:type="paragraph" w:customStyle="1" w:styleId="Style1">
    <w:name w:val="Style1"/>
    <w:basedOn w:val="Normal"/>
    <w:link w:val="Style1Char"/>
    <w:qFormat/>
    <w:rsid w:val="001B05A2"/>
    <w:pPr>
      <w:overflowPunct/>
      <w:autoSpaceDE/>
      <w:autoSpaceDN/>
      <w:adjustRightInd/>
      <w:spacing w:after="180" w:line="288" w:lineRule="auto"/>
      <w:ind w:firstLine="360"/>
      <w:textAlignment w:val="auto"/>
    </w:pPr>
    <w:rPr>
      <w:rFonts w:ascii="Malgun Gothic" w:eastAsia="Malgun Gothic" w:hAnsi="Malgun Gothic" w:cs="Batang"/>
      <w:lang w:eastAsia="en-US"/>
    </w:rPr>
  </w:style>
  <w:style w:type="character" w:styleId="Emphasis">
    <w:name w:val="Emphasis"/>
    <w:basedOn w:val="DefaultParagraphFont"/>
    <w:uiPriority w:val="20"/>
    <w:qFormat/>
    <w:rsid w:val="001B05A2"/>
    <w:rPr>
      <w:i/>
      <w:iCs/>
    </w:rPr>
  </w:style>
  <w:style w:type="character" w:customStyle="1" w:styleId="PLChar">
    <w:name w:val="PL Char"/>
    <w:link w:val="PL"/>
    <w:qFormat/>
    <w:locked/>
    <w:rsid w:val="00C25FB3"/>
    <w:rPr>
      <w:rFonts w:ascii="Courier New" w:hAnsi="Courier New" w:cs="Courier New"/>
      <w:noProof/>
      <w:sz w:val="16"/>
      <w:shd w:val="clear" w:color="auto" w:fill="E6E6E6"/>
      <w:lang w:val="en-GB" w:eastAsia="en-GB"/>
    </w:rPr>
  </w:style>
  <w:style w:type="paragraph" w:customStyle="1" w:styleId="PL">
    <w:name w:val="PL"/>
    <w:link w:val="PLChar"/>
    <w:qFormat/>
    <w:rsid w:val="00C2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paragraph" w:styleId="NormalWeb">
    <w:name w:val="Normal (Web)"/>
    <w:basedOn w:val="Normal"/>
    <w:uiPriority w:val="99"/>
    <w:semiHidden/>
    <w:unhideWhenUsed/>
    <w:rsid w:val="00C2794A"/>
    <w:pPr>
      <w:overflowPunct/>
      <w:autoSpaceDE/>
      <w:autoSpaceDN/>
      <w:adjustRightInd/>
      <w:spacing w:before="100" w:beforeAutospacing="1" w:after="100" w:afterAutospacing="1"/>
      <w:ind w:left="720" w:hanging="720"/>
      <w:jc w:val="left"/>
      <w:textAlignment w:val="auto"/>
    </w:pPr>
    <w:rPr>
      <w:rFonts w:ascii="Arial" w:eastAsia="SimSun"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50231154">
      <w:bodyDiv w:val="1"/>
      <w:marLeft w:val="0"/>
      <w:marRight w:val="0"/>
      <w:marTop w:val="0"/>
      <w:marBottom w:val="0"/>
      <w:divBdr>
        <w:top w:val="none" w:sz="0" w:space="0" w:color="auto"/>
        <w:left w:val="none" w:sz="0" w:space="0" w:color="auto"/>
        <w:bottom w:val="none" w:sz="0" w:space="0" w:color="auto"/>
        <w:right w:val="none" w:sz="0" w:space="0" w:color="auto"/>
      </w:divBdr>
    </w:div>
    <w:div w:id="59449567">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8621734">
      <w:bodyDiv w:val="1"/>
      <w:marLeft w:val="0"/>
      <w:marRight w:val="0"/>
      <w:marTop w:val="0"/>
      <w:marBottom w:val="0"/>
      <w:divBdr>
        <w:top w:val="none" w:sz="0" w:space="0" w:color="auto"/>
        <w:left w:val="none" w:sz="0" w:space="0" w:color="auto"/>
        <w:bottom w:val="none" w:sz="0" w:space="0" w:color="auto"/>
        <w:right w:val="none" w:sz="0" w:space="0" w:color="auto"/>
      </w:divBdr>
      <w:divsChild>
        <w:div w:id="1894728751">
          <w:marLeft w:val="547"/>
          <w:marRight w:val="0"/>
          <w:marTop w:val="60"/>
          <w:marBottom w:val="0"/>
          <w:divBdr>
            <w:top w:val="none" w:sz="0" w:space="0" w:color="auto"/>
            <w:left w:val="none" w:sz="0" w:space="0" w:color="auto"/>
            <w:bottom w:val="none" w:sz="0" w:space="0" w:color="auto"/>
            <w:right w:val="none" w:sz="0" w:space="0" w:color="auto"/>
          </w:divBdr>
        </w:div>
        <w:div w:id="637614159">
          <w:marLeft w:val="1123"/>
          <w:marRight w:val="0"/>
          <w:marTop w:val="60"/>
          <w:marBottom w:val="0"/>
          <w:divBdr>
            <w:top w:val="none" w:sz="0" w:space="0" w:color="auto"/>
            <w:left w:val="none" w:sz="0" w:space="0" w:color="auto"/>
            <w:bottom w:val="none" w:sz="0" w:space="0" w:color="auto"/>
            <w:right w:val="none" w:sz="0" w:space="0" w:color="auto"/>
          </w:divBdr>
        </w:div>
        <w:div w:id="1425150601">
          <w:marLeft w:val="1123"/>
          <w:marRight w:val="0"/>
          <w:marTop w:val="60"/>
          <w:marBottom w:val="0"/>
          <w:divBdr>
            <w:top w:val="none" w:sz="0" w:space="0" w:color="auto"/>
            <w:left w:val="none" w:sz="0" w:space="0" w:color="auto"/>
            <w:bottom w:val="none" w:sz="0" w:space="0" w:color="auto"/>
            <w:right w:val="none" w:sz="0" w:space="0" w:color="auto"/>
          </w:divBdr>
        </w:div>
        <w:div w:id="1180510668">
          <w:marLeft w:val="1123"/>
          <w:marRight w:val="0"/>
          <w:marTop w:val="60"/>
          <w:marBottom w:val="0"/>
          <w:divBdr>
            <w:top w:val="none" w:sz="0" w:space="0" w:color="auto"/>
            <w:left w:val="none" w:sz="0" w:space="0" w:color="auto"/>
            <w:bottom w:val="none" w:sz="0" w:space="0" w:color="auto"/>
            <w:right w:val="none" w:sz="0" w:space="0" w:color="auto"/>
          </w:divBdr>
        </w:div>
        <w:div w:id="297105072">
          <w:marLeft w:val="1123"/>
          <w:marRight w:val="0"/>
          <w:marTop w:val="60"/>
          <w:marBottom w:val="0"/>
          <w:divBdr>
            <w:top w:val="none" w:sz="0" w:space="0" w:color="auto"/>
            <w:left w:val="none" w:sz="0" w:space="0" w:color="auto"/>
            <w:bottom w:val="none" w:sz="0" w:space="0" w:color="auto"/>
            <w:right w:val="none" w:sz="0" w:space="0" w:color="auto"/>
          </w:divBdr>
        </w:div>
        <w:div w:id="428934901">
          <w:marLeft w:val="1123"/>
          <w:marRight w:val="0"/>
          <w:marTop w:val="60"/>
          <w:marBottom w:val="0"/>
          <w:divBdr>
            <w:top w:val="none" w:sz="0" w:space="0" w:color="auto"/>
            <w:left w:val="none" w:sz="0" w:space="0" w:color="auto"/>
            <w:bottom w:val="none" w:sz="0" w:space="0" w:color="auto"/>
            <w:right w:val="none" w:sz="0" w:space="0" w:color="auto"/>
          </w:divBdr>
        </w:div>
        <w:div w:id="2032298564">
          <w:marLeft w:val="547"/>
          <w:marRight w:val="0"/>
          <w:marTop w:val="60"/>
          <w:marBottom w:val="0"/>
          <w:divBdr>
            <w:top w:val="none" w:sz="0" w:space="0" w:color="auto"/>
            <w:left w:val="none" w:sz="0" w:space="0" w:color="auto"/>
            <w:bottom w:val="none" w:sz="0" w:space="0" w:color="auto"/>
            <w:right w:val="none" w:sz="0" w:space="0" w:color="auto"/>
          </w:divBdr>
        </w:div>
        <w:div w:id="1006905384">
          <w:marLeft w:val="1123"/>
          <w:marRight w:val="0"/>
          <w:marTop w:val="60"/>
          <w:marBottom w:val="0"/>
          <w:divBdr>
            <w:top w:val="none" w:sz="0" w:space="0" w:color="auto"/>
            <w:left w:val="none" w:sz="0" w:space="0" w:color="auto"/>
            <w:bottom w:val="none" w:sz="0" w:space="0" w:color="auto"/>
            <w:right w:val="none" w:sz="0" w:space="0" w:color="auto"/>
          </w:divBdr>
        </w:div>
        <w:div w:id="1158425093">
          <w:marLeft w:val="1123"/>
          <w:marRight w:val="0"/>
          <w:marTop w:val="60"/>
          <w:marBottom w:val="0"/>
          <w:divBdr>
            <w:top w:val="none" w:sz="0" w:space="0" w:color="auto"/>
            <w:left w:val="none" w:sz="0" w:space="0" w:color="auto"/>
            <w:bottom w:val="none" w:sz="0" w:space="0" w:color="auto"/>
            <w:right w:val="none" w:sz="0" w:space="0" w:color="auto"/>
          </w:divBdr>
        </w:div>
        <w:div w:id="1847399460">
          <w:marLeft w:val="1123"/>
          <w:marRight w:val="0"/>
          <w:marTop w:val="60"/>
          <w:marBottom w:val="0"/>
          <w:divBdr>
            <w:top w:val="none" w:sz="0" w:space="0" w:color="auto"/>
            <w:left w:val="none" w:sz="0" w:space="0" w:color="auto"/>
            <w:bottom w:val="none" w:sz="0" w:space="0" w:color="auto"/>
            <w:right w:val="none" w:sz="0" w:space="0" w:color="auto"/>
          </w:divBdr>
        </w:div>
        <w:div w:id="1624653686">
          <w:marLeft w:val="1123"/>
          <w:marRight w:val="0"/>
          <w:marTop w:val="60"/>
          <w:marBottom w:val="0"/>
          <w:divBdr>
            <w:top w:val="none" w:sz="0" w:space="0" w:color="auto"/>
            <w:left w:val="none" w:sz="0" w:space="0" w:color="auto"/>
            <w:bottom w:val="none" w:sz="0" w:space="0" w:color="auto"/>
            <w:right w:val="none" w:sz="0" w:space="0" w:color="auto"/>
          </w:divBdr>
        </w:div>
        <w:div w:id="1645312124">
          <w:marLeft w:val="1699"/>
          <w:marRight w:val="0"/>
          <w:marTop w:val="60"/>
          <w:marBottom w:val="0"/>
          <w:divBdr>
            <w:top w:val="none" w:sz="0" w:space="0" w:color="auto"/>
            <w:left w:val="none" w:sz="0" w:space="0" w:color="auto"/>
            <w:bottom w:val="none" w:sz="0" w:space="0" w:color="auto"/>
            <w:right w:val="none" w:sz="0" w:space="0" w:color="auto"/>
          </w:divBdr>
        </w:div>
        <w:div w:id="1743674281">
          <w:marLeft w:val="1699"/>
          <w:marRight w:val="0"/>
          <w:marTop w:val="60"/>
          <w:marBottom w:val="0"/>
          <w:divBdr>
            <w:top w:val="none" w:sz="0" w:space="0" w:color="auto"/>
            <w:left w:val="none" w:sz="0" w:space="0" w:color="auto"/>
            <w:bottom w:val="none" w:sz="0" w:space="0" w:color="auto"/>
            <w:right w:val="none" w:sz="0" w:space="0" w:color="auto"/>
          </w:divBdr>
        </w:div>
        <w:div w:id="2100900972">
          <w:marLeft w:val="1123"/>
          <w:marRight w:val="0"/>
          <w:marTop w:val="60"/>
          <w:marBottom w:val="0"/>
          <w:divBdr>
            <w:top w:val="none" w:sz="0" w:space="0" w:color="auto"/>
            <w:left w:val="none" w:sz="0" w:space="0" w:color="auto"/>
            <w:bottom w:val="none" w:sz="0" w:space="0" w:color="auto"/>
            <w:right w:val="none" w:sz="0" w:space="0" w:color="auto"/>
          </w:divBdr>
        </w:div>
        <w:div w:id="277638138">
          <w:marLeft w:val="1699"/>
          <w:marRight w:val="0"/>
          <w:marTop w:val="60"/>
          <w:marBottom w:val="0"/>
          <w:divBdr>
            <w:top w:val="none" w:sz="0" w:space="0" w:color="auto"/>
            <w:left w:val="none" w:sz="0" w:space="0" w:color="auto"/>
            <w:bottom w:val="none" w:sz="0" w:space="0" w:color="auto"/>
            <w:right w:val="none" w:sz="0" w:space="0" w:color="auto"/>
          </w:divBdr>
        </w:div>
        <w:div w:id="1753700404">
          <w:marLeft w:val="1699"/>
          <w:marRight w:val="0"/>
          <w:marTop w:val="60"/>
          <w:marBottom w:val="0"/>
          <w:divBdr>
            <w:top w:val="none" w:sz="0" w:space="0" w:color="auto"/>
            <w:left w:val="none" w:sz="0" w:space="0" w:color="auto"/>
            <w:bottom w:val="none" w:sz="0" w:space="0" w:color="auto"/>
            <w:right w:val="none" w:sz="0" w:space="0" w:color="auto"/>
          </w:divBdr>
        </w:div>
        <w:div w:id="323820243">
          <w:marLeft w:val="1699"/>
          <w:marRight w:val="0"/>
          <w:marTop w:val="60"/>
          <w:marBottom w:val="0"/>
          <w:divBdr>
            <w:top w:val="none" w:sz="0" w:space="0" w:color="auto"/>
            <w:left w:val="none" w:sz="0" w:space="0" w:color="auto"/>
            <w:bottom w:val="none" w:sz="0" w:space="0" w:color="auto"/>
            <w:right w:val="none" w:sz="0" w:space="0" w:color="auto"/>
          </w:divBdr>
        </w:div>
        <w:div w:id="31270637">
          <w:marLeft w:val="1123"/>
          <w:marRight w:val="0"/>
          <w:marTop w:val="60"/>
          <w:marBottom w:val="0"/>
          <w:divBdr>
            <w:top w:val="none" w:sz="0" w:space="0" w:color="auto"/>
            <w:left w:val="none" w:sz="0" w:space="0" w:color="auto"/>
            <w:bottom w:val="none" w:sz="0" w:space="0" w:color="auto"/>
            <w:right w:val="none" w:sz="0" w:space="0" w:color="auto"/>
          </w:divBdr>
        </w:div>
        <w:div w:id="2146896616">
          <w:marLeft w:val="1699"/>
          <w:marRight w:val="0"/>
          <w:marTop w:val="60"/>
          <w:marBottom w:val="0"/>
          <w:divBdr>
            <w:top w:val="none" w:sz="0" w:space="0" w:color="auto"/>
            <w:left w:val="none" w:sz="0" w:space="0" w:color="auto"/>
            <w:bottom w:val="none" w:sz="0" w:space="0" w:color="auto"/>
            <w:right w:val="none" w:sz="0" w:space="0" w:color="auto"/>
          </w:divBdr>
        </w:div>
        <w:div w:id="1508789231">
          <w:marLeft w:val="1699"/>
          <w:marRight w:val="0"/>
          <w:marTop w:val="60"/>
          <w:marBottom w:val="0"/>
          <w:divBdr>
            <w:top w:val="none" w:sz="0" w:space="0" w:color="auto"/>
            <w:left w:val="none" w:sz="0" w:space="0" w:color="auto"/>
            <w:bottom w:val="none" w:sz="0" w:space="0" w:color="auto"/>
            <w:right w:val="none" w:sz="0" w:space="0" w:color="auto"/>
          </w:divBdr>
        </w:div>
        <w:div w:id="1013919088">
          <w:marLeft w:val="1699"/>
          <w:marRight w:val="0"/>
          <w:marTop w:val="60"/>
          <w:marBottom w:val="0"/>
          <w:divBdr>
            <w:top w:val="none" w:sz="0" w:space="0" w:color="auto"/>
            <w:left w:val="none" w:sz="0" w:space="0" w:color="auto"/>
            <w:bottom w:val="none" w:sz="0" w:space="0" w:color="auto"/>
            <w:right w:val="none" w:sz="0" w:space="0" w:color="auto"/>
          </w:divBdr>
        </w:div>
        <w:div w:id="1165903700">
          <w:marLeft w:val="1123"/>
          <w:marRight w:val="0"/>
          <w:marTop w:val="60"/>
          <w:marBottom w:val="0"/>
          <w:divBdr>
            <w:top w:val="none" w:sz="0" w:space="0" w:color="auto"/>
            <w:left w:val="none" w:sz="0" w:space="0" w:color="auto"/>
            <w:bottom w:val="none" w:sz="0" w:space="0" w:color="auto"/>
            <w:right w:val="none" w:sz="0" w:space="0" w:color="auto"/>
          </w:divBdr>
        </w:div>
      </w:divsChild>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195895446">
      <w:bodyDiv w:val="1"/>
      <w:marLeft w:val="0"/>
      <w:marRight w:val="0"/>
      <w:marTop w:val="0"/>
      <w:marBottom w:val="0"/>
      <w:divBdr>
        <w:top w:val="none" w:sz="0" w:space="0" w:color="auto"/>
        <w:left w:val="none" w:sz="0" w:space="0" w:color="auto"/>
        <w:bottom w:val="none" w:sz="0" w:space="0" w:color="auto"/>
        <w:right w:val="none" w:sz="0" w:space="0" w:color="auto"/>
      </w:divBdr>
    </w:div>
    <w:div w:id="198933613">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5463159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01228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1514803">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24755833">
      <w:bodyDiv w:val="1"/>
      <w:marLeft w:val="0"/>
      <w:marRight w:val="0"/>
      <w:marTop w:val="0"/>
      <w:marBottom w:val="0"/>
      <w:divBdr>
        <w:top w:val="none" w:sz="0" w:space="0" w:color="auto"/>
        <w:left w:val="none" w:sz="0" w:space="0" w:color="auto"/>
        <w:bottom w:val="none" w:sz="0" w:space="0" w:color="auto"/>
        <w:right w:val="none" w:sz="0" w:space="0" w:color="auto"/>
      </w:divBdr>
    </w:div>
    <w:div w:id="548497877">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08851082">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816267531">
      <w:bodyDiv w:val="1"/>
      <w:marLeft w:val="0"/>
      <w:marRight w:val="0"/>
      <w:marTop w:val="0"/>
      <w:marBottom w:val="0"/>
      <w:divBdr>
        <w:top w:val="none" w:sz="0" w:space="0" w:color="auto"/>
        <w:left w:val="none" w:sz="0" w:space="0" w:color="auto"/>
        <w:bottom w:val="none" w:sz="0" w:space="0" w:color="auto"/>
        <w:right w:val="none" w:sz="0" w:space="0" w:color="auto"/>
      </w:divBdr>
    </w:div>
    <w:div w:id="821197765">
      <w:bodyDiv w:val="1"/>
      <w:marLeft w:val="0"/>
      <w:marRight w:val="0"/>
      <w:marTop w:val="0"/>
      <w:marBottom w:val="0"/>
      <w:divBdr>
        <w:top w:val="none" w:sz="0" w:space="0" w:color="auto"/>
        <w:left w:val="none" w:sz="0" w:space="0" w:color="auto"/>
        <w:bottom w:val="none" w:sz="0" w:space="0" w:color="auto"/>
        <w:right w:val="none" w:sz="0" w:space="0" w:color="auto"/>
      </w:divBdr>
    </w:div>
    <w:div w:id="834304303">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063408569">
      <w:bodyDiv w:val="1"/>
      <w:marLeft w:val="0"/>
      <w:marRight w:val="0"/>
      <w:marTop w:val="0"/>
      <w:marBottom w:val="0"/>
      <w:divBdr>
        <w:top w:val="none" w:sz="0" w:space="0" w:color="auto"/>
        <w:left w:val="none" w:sz="0" w:space="0" w:color="auto"/>
        <w:bottom w:val="none" w:sz="0" w:space="0" w:color="auto"/>
        <w:right w:val="none" w:sz="0" w:space="0" w:color="auto"/>
      </w:divBdr>
    </w:div>
    <w:div w:id="1105228766">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8311304">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3941109">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54567100">
      <w:bodyDiv w:val="1"/>
      <w:marLeft w:val="0"/>
      <w:marRight w:val="0"/>
      <w:marTop w:val="0"/>
      <w:marBottom w:val="0"/>
      <w:divBdr>
        <w:top w:val="none" w:sz="0" w:space="0" w:color="auto"/>
        <w:left w:val="none" w:sz="0" w:space="0" w:color="auto"/>
        <w:bottom w:val="none" w:sz="0" w:space="0" w:color="auto"/>
        <w:right w:val="none" w:sz="0" w:space="0" w:color="auto"/>
      </w:divBdr>
    </w:div>
    <w:div w:id="120089817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52201601">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81254946">
      <w:bodyDiv w:val="1"/>
      <w:marLeft w:val="0"/>
      <w:marRight w:val="0"/>
      <w:marTop w:val="0"/>
      <w:marBottom w:val="0"/>
      <w:divBdr>
        <w:top w:val="none" w:sz="0" w:space="0" w:color="auto"/>
        <w:left w:val="none" w:sz="0" w:space="0" w:color="auto"/>
        <w:bottom w:val="none" w:sz="0" w:space="0" w:color="auto"/>
        <w:right w:val="none" w:sz="0" w:space="0" w:color="auto"/>
      </w:divBdr>
    </w:div>
    <w:div w:id="1319505509">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76676821">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97061062">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24577086">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06099624">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852841503">
      <w:bodyDiv w:val="1"/>
      <w:marLeft w:val="0"/>
      <w:marRight w:val="0"/>
      <w:marTop w:val="0"/>
      <w:marBottom w:val="0"/>
      <w:divBdr>
        <w:top w:val="none" w:sz="0" w:space="0" w:color="auto"/>
        <w:left w:val="none" w:sz="0" w:space="0" w:color="auto"/>
        <w:bottom w:val="none" w:sz="0" w:space="0" w:color="auto"/>
        <w:right w:val="none" w:sz="0" w:space="0" w:color="auto"/>
      </w:divBdr>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874541476">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1571121">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96/Docs/R1-1902304.zip"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D4DBC37C-748D-4B86-87E4-89E766AA4C10}">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2078AE2-51BB-45F1-BE78-4872A75C6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704AE6-599B-43CF-AC68-18E3123ED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7597</TotalTime>
  <Pages>13</Pages>
  <Words>4079</Words>
  <Characters>23186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888</cp:revision>
  <cp:lastPrinted>2008-01-31T15:09:00Z</cp:lastPrinted>
  <dcterms:created xsi:type="dcterms:W3CDTF">2018-09-28T14:32:00Z</dcterms:created>
  <dcterms:modified xsi:type="dcterms:W3CDTF">2019-04-03T13:44:00Z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1">
    <vt:lpwstr>97</vt:lpwstr>
  </property>
</Properties>
</file>